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151" w:rsidRPr="006F34EE" w:rsidRDefault="001A0151" w:rsidP="00D67858">
      <w:pPr>
        <w:spacing w:after="0"/>
        <w:rPr>
          <w:b/>
          <w:sz w:val="14"/>
        </w:rPr>
      </w:pPr>
      <w:bookmarkStart w:id="0" w:name="_GoBack"/>
      <w:bookmarkEnd w:id="0"/>
    </w:p>
    <w:p w:rsidR="001A0151" w:rsidRPr="00A71B19" w:rsidRDefault="00CD073E" w:rsidP="00D67858">
      <w:pPr>
        <w:spacing w:after="0"/>
        <w:jc w:val="center"/>
        <w:rPr>
          <w:b/>
          <w:sz w:val="36"/>
        </w:rPr>
      </w:pPr>
      <w:r w:rsidRPr="00A71B19">
        <w:rPr>
          <w:b/>
          <w:sz w:val="36"/>
        </w:rPr>
        <w:t xml:space="preserve">Recommendations for </w:t>
      </w:r>
      <w:r w:rsidR="001567FA" w:rsidRPr="00A71B19">
        <w:rPr>
          <w:b/>
          <w:sz w:val="36"/>
        </w:rPr>
        <w:t>the role of learning and support assistants</w:t>
      </w:r>
      <w:r w:rsidRPr="00A71B19">
        <w:rPr>
          <w:b/>
          <w:sz w:val="36"/>
        </w:rPr>
        <w:t xml:space="preserve"> in inclusive education</w:t>
      </w:r>
    </w:p>
    <w:p w:rsidR="00D67858" w:rsidRPr="00A71B19" w:rsidRDefault="00D67858" w:rsidP="00D67858">
      <w:pPr>
        <w:spacing w:after="0"/>
        <w:jc w:val="center"/>
        <w:rPr>
          <w:b/>
          <w:sz w:val="36"/>
        </w:rPr>
      </w:pPr>
    </w:p>
    <w:p w:rsidR="00E85368" w:rsidRPr="00A71B19" w:rsidRDefault="007B3298" w:rsidP="00D67858">
      <w:pPr>
        <w:pStyle w:val="ListParagraph"/>
        <w:numPr>
          <w:ilvl w:val="0"/>
          <w:numId w:val="5"/>
        </w:numPr>
        <w:rPr>
          <w:b/>
          <w:sz w:val="24"/>
          <w:szCs w:val="24"/>
        </w:rPr>
      </w:pPr>
      <w:r w:rsidRPr="00A71B19">
        <w:rPr>
          <w:b/>
          <w:sz w:val="24"/>
          <w:szCs w:val="24"/>
        </w:rPr>
        <w:t>Introduction</w:t>
      </w:r>
    </w:p>
    <w:p w:rsidR="00D67858" w:rsidRPr="00A71B19" w:rsidRDefault="006E29FC" w:rsidP="00D67858">
      <w:pPr>
        <w:spacing w:after="0"/>
        <w:jc w:val="both"/>
        <w:rPr>
          <w:szCs w:val="24"/>
        </w:rPr>
      </w:pPr>
      <w:r>
        <w:rPr>
          <w:lang w:val="de-DE"/>
        </w:rPr>
        <w:t>The UK and t</w:t>
      </w:r>
      <w:r w:rsidR="009B2E23" w:rsidRPr="00A71B19">
        <w:t xml:space="preserve">he European Union </w:t>
      </w:r>
      <w:r>
        <w:t>have</w:t>
      </w:r>
      <w:r w:rsidR="009B2E23" w:rsidRPr="00A71B19">
        <w:t xml:space="preserve"> ratified the United Nations Convention on the Rights of Persons with Disabilities (UN–CRPD)</w:t>
      </w:r>
      <w:r>
        <w:t xml:space="preserve">, which </w:t>
      </w:r>
      <w:r w:rsidR="00503C94">
        <w:t xml:space="preserve">says that </w:t>
      </w:r>
      <w:r w:rsidR="00503C94">
        <w:rPr>
          <w:rFonts w:eastAsia="Times New Roman" w:cs="Times New Roman"/>
          <w:bCs/>
          <w:color w:val="000000"/>
          <w:lang w:eastAsia="de-DE"/>
        </w:rPr>
        <w:t xml:space="preserve">State </w:t>
      </w:r>
      <w:r w:rsidR="00503C94" w:rsidRPr="00A71B19">
        <w:rPr>
          <w:rFonts w:eastAsia="Times New Roman" w:cs="Times New Roman"/>
          <w:bCs/>
          <w:color w:val="000000"/>
          <w:lang w:eastAsia="de-DE"/>
        </w:rPr>
        <w:t xml:space="preserve">Parties </w:t>
      </w:r>
      <w:r w:rsidR="00503C94">
        <w:rPr>
          <w:rFonts w:eastAsia="Times New Roman" w:cs="Times New Roman"/>
          <w:bCs/>
          <w:color w:val="000000"/>
          <w:lang w:eastAsia="de-DE"/>
        </w:rPr>
        <w:t>must</w:t>
      </w:r>
      <w:r w:rsidR="00503C94" w:rsidRPr="00A71B19">
        <w:rPr>
          <w:rFonts w:eastAsia="Times New Roman" w:cs="Times New Roman"/>
          <w:bCs/>
          <w:color w:val="000000"/>
          <w:lang w:eastAsia="de-DE"/>
        </w:rPr>
        <w:t xml:space="preserve"> ensure an inclusive</w:t>
      </w:r>
      <w:r w:rsidR="00503C94">
        <w:rPr>
          <w:rFonts w:eastAsia="Times New Roman" w:cs="Times New Roman"/>
          <w:bCs/>
          <w:color w:val="000000"/>
          <w:lang w:eastAsia="de-DE"/>
        </w:rPr>
        <w:t xml:space="preserve"> education system at all levels (Article 24, para. 1)</w:t>
      </w:r>
      <w:proofErr w:type="gramStart"/>
      <w:r w:rsidR="00503C94">
        <w:rPr>
          <w:rFonts w:eastAsia="Times New Roman" w:cs="Times New Roman"/>
          <w:bCs/>
          <w:color w:val="000000"/>
          <w:lang w:eastAsia="de-DE"/>
        </w:rPr>
        <w:t>.  All</w:t>
      </w:r>
      <w:proofErr w:type="gramEnd"/>
      <w:r>
        <w:t xml:space="preserve"> c</w:t>
      </w:r>
      <w:r w:rsidR="009B2E23" w:rsidRPr="00A71B19">
        <w:t xml:space="preserve">hildren and young people </w:t>
      </w:r>
      <w:r w:rsidR="008D58BE">
        <w:t>rely</w:t>
      </w:r>
      <w:r w:rsidR="009B2E23" w:rsidRPr="00A71B19">
        <w:t xml:space="preserve"> on </w:t>
      </w:r>
      <w:r>
        <w:t>teachers and non-teaching staff</w:t>
      </w:r>
      <w:r w:rsidR="004D667F" w:rsidRPr="00A71B19">
        <w:t xml:space="preserve"> </w:t>
      </w:r>
      <w:r>
        <w:t xml:space="preserve">to enable their learning and participation </w:t>
      </w:r>
      <w:r w:rsidR="004D667F" w:rsidRPr="00A71B19">
        <w:t>in school</w:t>
      </w:r>
      <w:r w:rsidR="009B2E23" w:rsidRPr="00A71B19">
        <w:t xml:space="preserve">. </w:t>
      </w:r>
      <w:r>
        <w:t>For disabled children and young people, non-teaching staff (learning support</w:t>
      </w:r>
      <w:r w:rsidR="009B2E23" w:rsidRPr="00A71B19">
        <w:t xml:space="preserve"> assistants, </w:t>
      </w:r>
      <w:r>
        <w:t>teaching</w:t>
      </w:r>
      <w:r w:rsidRPr="00A71B19">
        <w:t xml:space="preserve"> ass</w:t>
      </w:r>
      <w:r>
        <w:t xml:space="preserve">istants or similar) play a vital role </w:t>
      </w:r>
      <w:r w:rsidR="009B2E23" w:rsidRPr="00A71B19">
        <w:t xml:space="preserve">in </w:t>
      </w:r>
      <w:r>
        <w:t xml:space="preserve">enabling them to </w:t>
      </w:r>
      <w:r w:rsidR="009B2E23" w:rsidRPr="00A71B19">
        <w:t>successfully engage in every aspect of compulsory and post compulsory education.</w:t>
      </w:r>
      <w:r w:rsidR="009B2E23" w:rsidRPr="00A71B19">
        <w:rPr>
          <w:szCs w:val="24"/>
        </w:rPr>
        <w:t xml:space="preserve">  </w:t>
      </w:r>
    </w:p>
    <w:p w:rsidR="00D67858" w:rsidRPr="00A71B19" w:rsidRDefault="00D67858" w:rsidP="00D67858">
      <w:pPr>
        <w:spacing w:after="0"/>
        <w:jc w:val="both"/>
        <w:rPr>
          <w:szCs w:val="24"/>
        </w:rPr>
      </w:pPr>
    </w:p>
    <w:p w:rsidR="00E85368" w:rsidRPr="00A71B19" w:rsidRDefault="001E0AA4" w:rsidP="00D67858">
      <w:pPr>
        <w:pStyle w:val="ListParagraph"/>
        <w:numPr>
          <w:ilvl w:val="0"/>
          <w:numId w:val="5"/>
        </w:numPr>
        <w:rPr>
          <w:b/>
          <w:sz w:val="24"/>
        </w:rPr>
      </w:pPr>
      <w:r w:rsidRPr="00A71B19">
        <w:rPr>
          <w:b/>
          <w:sz w:val="24"/>
        </w:rPr>
        <w:t>Aim</w:t>
      </w:r>
    </w:p>
    <w:p w:rsidR="00163FE1" w:rsidRPr="008D58BE" w:rsidRDefault="008D58BE" w:rsidP="00D67858">
      <w:pPr>
        <w:spacing w:after="0"/>
        <w:jc w:val="both"/>
      </w:pPr>
      <w:r>
        <w:t>Improving Assistance in Inclusive Educational Settings (</w:t>
      </w:r>
      <w:r w:rsidR="009B2E23" w:rsidRPr="00A71B19">
        <w:t>IMAS</w:t>
      </w:r>
      <w:r>
        <w:t xml:space="preserve">) </w:t>
      </w:r>
      <w:r w:rsidR="009B2E23" w:rsidRPr="00A71B19">
        <w:t xml:space="preserve">is </w:t>
      </w:r>
      <w:r>
        <w:t>a one-year</w:t>
      </w:r>
      <w:r w:rsidR="009B2E23" w:rsidRPr="00A71B19">
        <w:t xml:space="preserve"> project, running from November 2016 to November 2017, </w:t>
      </w:r>
      <w:r>
        <w:t xml:space="preserve">funded by the </w:t>
      </w:r>
      <w:r w:rsidRPr="00A71B19">
        <w:t xml:space="preserve">Erasmus+ </w:t>
      </w:r>
      <w:r>
        <w:t xml:space="preserve">Programme of the European Union.  The project </w:t>
      </w:r>
      <w:r w:rsidR="009B2E23" w:rsidRPr="00A71B19">
        <w:t xml:space="preserve">focuses on the education of </w:t>
      </w:r>
      <w:r>
        <w:t xml:space="preserve">disabled </w:t>
      </w:r>
      <w:r w:rsidR="00D67858" w:rsidRPr="00A71B19">
        <w:t>children and young people</w:t>
      </w:r>
      <w:r w:rsidR="009B2E23" w:rsidRPr="00A71B19">
        <w:t xml:space="preserve"> in Europe and aims to establish a common framework for </w:t>
      </w:r>
      <w:r>
        <w:t xml:space="preserve">scrutinising how assistance is organised in schools and understanding, if not improving, its contribution to inclusive education for disabled children and young people.  </w:t>
      </w:r>
      <w:r w:rsidR="00D12276">
        <w:t>In exploring and possibly restructuring assistance in schools, education systems will transform in ways which u</w:t>
      </w:r>
      <w:r w:rsidR="009B2E23" w:rsidRPr="00A71B19">
        <w:t xml:space="preserve">phold the rights of </w:t>
      </w:r>
      <w:r w:rsidR="00D12276">
        <w:t xml:space="preserve">disabled </w:t>
      </w:r>
      <w:r w:rsidR="009B2E23" w:rsidRPr="00A71B19">
        <w:t xml:space="preserve">children and young </w:t>
      </w:r>
      <w:r w:rsidR="004D667F" w:rsidRPr="00A71B19">
        <w:t>people</w:t>
      </w:r>
      <w:r w:rsidR="00D12276">
        <w:t>,</w:t>
      </w:r>
      <w:r w:rsidR="009B2E23" w:rsidRPr="00A71B19">
        <w:t xml:space="preserve"> as </w:t>
      </w:r>
      <w:r w:rsidR="00D12276">
        <w:t xml:space="preserve">these are </w:t>
      </w:r>
      <w:r w:rsidR="009B2E23" w:rsidRPr="00A71B19">
        <w:t xml:space="preserve">stated in the UN Convention on the Rights of Persons with Disabilities.  </w:t>
      </w:r>
      <w:r w:rsidR="00D12276">
        <w:rPr>
          <w:szCs w:val="24"/>
        </w:rPr>
        <w:t>In doing so, education systems will</w:t>
      </w:r>
      <w:r w:rsidR="009B2E23" w:rsidRPr="00A71B19">
        <w:rPr>
          <w:szCs w:val="24"/>
        </w:rPr>
        <w:t xml:space="preserve"> move away from </w:t>
      </w:r>
      <w:r w:rsidR="00534F77">
        <w:rPr>
          <w:szCs w:val="24"/>
        </w:rPr>
        <w:t>contexts</w:t>
      </w:r>
      <w:r w:rsidR="009B2E23" w:rsidRPr="00A71B19">
        <w:rPr>
          <w:szCs w:val="24"/>
        </w:rPr>
        <w:t xml:space="preserve"> where, in the name of inclusion, the main educator for some children has no teaching qualification,</w:t>
      </w:r>
      <w:r w:rsidR="000942C0">
        <w:rPr>
          <w:szCs w:val="24"/>
        </w:rPr>
        <w:t xml:space="preserve"> little</w:t>
      </w:r>
      <w:r w:rsidR="009B2E23" w:rsidRPr="00A71B19">
        <w:rPr>
          <w:szCs w:val="24"/>
        </w:rPr>
        <w:t xml:space="preserve"> </w:t>
      </w:r>
      <w:r w:rsidR="000942C0" w:rsidRPr="00A71B19">
        <w:rPr>
          <w:szCs w:val="24"/>
        </w:rPr>
        <w:t>job security</w:t>
      </w:r>
      <w:r w:rsidR="000942C0">
        <w:rPr>
          <w:szCs w:val="24"/>
        </w:rPr>
        <w:t>, low status in school hierarchies</w:t>
      </w:r>
      <w:r w:rsidR="000942C0" w:rsidRPr="00A71B19">
        <w:rPr>
          <w:szCs w:val="24"/>
        </w:rPr>
        <w:t xml:space="preserve"> </w:t>
      </w:r>
      <w:r w:rsidR="009B2E23" w:rsidRPr="00A71B19">
        <w:rPr>
          <w:szCs w:val="24"/>
        </w:rPr>
        <w:t>and is amongst the lowest paid</w:t>
      </w:r>
      <w:r w:rsidR="000942C0">
        <w:rPr>
          <w:szCs w:val="24"/>
        </w:rPr>
        <w:t xml:space="preserve"> of school staf</w:t>
      </w:r>
      <w:r w:rsidR="00D12276">
        <w:rPr>
          <w:szCs w:val="24"/>
        </w:rPr>
        <w:t>f</w:t>
      </w:r>
      <w:r w:rsidR="009B2E23" w:rsidRPr="00A71B19">
        <w:rPr>
          <w:szCs w:val="24"/>
        </w:rPr>
        <w:t>.</w:t>
      </w:r>
    </w:p>
    <w:p w:rsidR="00D67858" w:rsidRPr="00D12276" w:rsidRDefault="00D67858" w:rsidP="00D67858">
      <w:pPr>
        <w:spacing w:after="0"/>
        <w:jc w:val="both"/>
      </w:pPr>
    </w:p>
    <w:p w:rsidR="00202790" w:rsidRPr="00A71B19" w:rsidRDefault="004663A5" w:rsidP="00D67858">
      <w:pPr>
        <w:spacing w:after="0"/>
        <w:jc w:val="both"/>
      </w:pPr>
      <w:r w:rsidRPr="00A71B19">
        <w:t xml:space="preserve">This paper is </w:t>
      </w:r>
      <w:r w:rsidR="00CD073E" w:rsidRPr="00A71B19">
        <w:t xml:space="preserve">based on the analysis of 5 </w:t>
      </w:r>
      <w:r w:rsidRPr="00A71B19">
        <w:t>national</w:t>
      </w:r>
      <w:r w:rsidR="00CD073E" w:rsidRPr="00A71B19">
        <w:t xml:space="preserve"> systems for offering assistance services</w:t>
      </w:r>
      <w:r w:rsidRPr="00A71B19">
        <w:t xml:space="preserve"> in Austria, Slovakia, Bulgaria</w:t>
      </w:r>
      <w:r w:rsidR="00CD073E" w:rsidRPr="00A71B19">
        <w:t xml:space="preserve">, Portugal and </w:t>
      </w:r>
      <w:r w:rsidR="004D667F" w:rsidRPr="00A71B19">
        <w:t xml:space="preserve">the </w:t>
      </w:r>
      <w:r w:rsidR="00145AF1" w:rsidRPr="00A71B19">
        <w:t>UK. T</w:t>
      </w:r>
      <w:r w:rsidR="00CD073E" w:rsidRPr="00A71B19">
        <w:t xml:space="preserve">he following recommendations </w:t>
      </w:r>
      <w:r w:rsidR="00B03979" w:rsidRPr="00A71B19">
        <w:t>are organised around</w:t>
      </w:r>
      <w:r w:rsidR="00CD073E" w:rsidRPr="00A71B19">
        <w:t xml:space="preserve"> </w:t>
      </w:r>
      <w:r w:rsidR="007A48CE" w:rsidRPr="00A71B19">
        <w:t>12</w:t>
      </w:r>
      <w:r w:rsidR="00CD073E" w:rsidRPr="00A71B19">
        <w:t xml:space="preserve"> dimensions </w:t>
      </w:r>
      <w:r w:rsidR="00F81346">
        <w:t>of</w:t>
      </w:r>
      <w:r w:rsidR="00CD073E" w:rsidRPr="00A71B19">
        <w:t xml:space="preserve"> designing systems of assistance services and </w:t>
      </w:r>
      <w:r w:rsidR="00B03979" w:rsidRPr="00A71B19">
        <w:t>are intended to</w:t>
      </w:r>
      <w:r w:rsidR="00CD073E" w:rsidRPr="00A71B19">
        <w:t xml:space="preserve"> help decision makers in politics and administration to further develop a</w:t>
      </w:r>
      <w:r w:rsidR="008042DE">
        <w:t xml:space="preserve">ssistance services </w:t>
      </w:r>
      <w:r w:rsidR="00F81346">
        <w:t xml:space="preserve">in schools </w:t>
      </w:r>
      <w:r w:rsidR="008042DE">
        <w:t>in Europe in general and in the UK in particular</w:t>
      </w:r>
      <w:r w:rsidR="00CD073E" w:rsidRPr="00A71B19">
        <w:t>.</w:t>
      </w:r>
    </w:p>
    <w:p w:rsidR="00D67858" w:rsidRPr="00A71B19" w:rsidRDefault="00D67858" w:rsidP="00D67858">
      <w:pPr>
        <w:spacing w:after="0"/>
        <w:jc w:val="both"/>
      </w:pPr>
    </w:p>
    <w:p w:rsidR="007B3298" w:rsidRPr="00A71B19" w:rsidRDefault="00EE30B8" w:rsidP="00D67858">
      <w:pPr>
        <w:pStyle w:val="ListParagraph"/>
        <w:numPr>
          <w:ilvl w:val="0"/>
          <w:numId w:val="5"/>
        </w:numPr>
        <w:jc w:val="both"/>
        <w:rPr>
          <w:b/>
          <w:sz w:val="24"/>
        </w:rPr>
      </w:pPr>
      <w:r>
        <w:rPr>
          <w:b/>
          <w:sz w:val="24"/>
        </w:rPr>
        <w:t>Terminology in this</w:t>
      </w:r>
      <w:r w:rsidR="007B3298" w:rsidRPr="00A71B19">
        <w:rPr>
          <w:b/>
          <w:sz w:val="24"/>
        </w:rPr>
        <w:t xml:space="preserve"> document</w:t>
      </w:r>
    </w:p>
    <w:p w:rsidR="00291908" w:rsidRPr="00A71B19" w:rsidRDefault="00291908" w:rsidP="00D67858">
      <w:pPr>
        <w:spacing w:after="0"/>
        <w:jc w:val="both"/>
      </w:pPr>
      <w:r w:rsidRPr="00A71B19">
        <w:t xml:space="preserve">For </w:t>
      </w:r>
      <w:r w:rsidR="008042DE">
        <w:t>ease of reference</w:t>
      </w:r>
      <w:r w:rsidRPr="00A71B19">
        <w:t xml:space="preserve"> the following terminology is used throughout th</w:t>
      </w:r>
      <w:r w:rsidR="00EE30B8">
        <w:t>is</w:t>
      </w:r>
      <w:r w:rsidRPr="00A71B19">
        <w:t xml:space="preserve"> document:</w:t>
      </w:r>
    </w:p>
    <w:p w:rsidR="009B2E23" w:rsidRPr="00A71B19" w:rsidRDefault="008042DE" w:rsidP="00D67858">
      <w:pPr>
        <w:pStyle w:val="ListParagraph"/>
        <w:numPr>
          <w:ilvl w:val="0"/>
          <w:numId w:val="18"/>
        </w:numPr>
        <w:jc w:val="both"/>
      </w:pPr>
      <w:r>
        <w:t>The word</w:t>
      </w:r>
      <w:r w:rsidR="009B2E23" w:rsidRPr="00A71B19">
        <w:t xml:space="preserve"> </w:t>
      </w:r>
      <w:r w:rsidR="009B2E23" w:rsidRPr="00A71B19">
        <w:rPr>
          <w:b/>
        </w:rPr>
        <w:t>“pupils”</w:t>
      </w:r>
      <w:r w:rsidR="009B2E23" w:rsidRPr="00A71B19">
        <w:t xml:space="preserve"> </w:t>
      </w:r>
      <w:r>
        <w:t>refers to</w:t>
      </w:r>
      <w:r w:rsidR="009B2E23" w:rsidRPr="00A71B19">
        <w:t xml:space="preserve"> children and young </w:t>
      </w:r>
      <w:r>
        <w:t>people</w:t>
      </w:r>
      <w:r w:rsidR="009B2E23" w:rsidRPr="00A71B19">
        <w:t xml:space="preserve"> up to</w:t>
      </w:r>
      <w:r w:rsidR="00B03979" w:rsidRPr="00A71B19">
        <w:t xml:space="preserve"> the age of</w:t>
      </w:r>
      <w:r w:rsidR="009B2E23" w:rsidRPr="00A71B19">
        <w:t xml:space="preserve"> 25</w:t>
      </w:r>
      <w:r>
        <w:t>, who are in some form of education</w:t>
      </w:r>
      <w:r w:rsidR="009B2E23" w:rsidRPr="00A71B19">
        <w:t>.</w:t>
      </w:r>
    </w:p>
    <w:p w:rsidR="009B2E23" w:rsidRDefault="009B2E23" w:rsidP="00D67858">
      <w:pPr>
        <w:pStyle w:val="ListParagraph"/>
        <w:numPr>
          <w:ilvl w:val="0"/>
          <w:numId w:val="18"/>
        </w:numPr>
        <w:jc w:val="both"/>
        <w:rPr>
          <w:lang w:val="en-GB"/>
        </w:rPr>
      </w:pPr>
      <w:r w:rsidRPr="00A71B19">
        <w:rPr>
          <w:lang w:val="en-GB"/>
        </w:rPr>
        <w:t xml:space="preserve">The word </w:t>
      </w:r>
      <w:r w:rsidRPr="00A71B19">
        <w:rPr>
          <w:b/>
          <w:lang w:val="en-GB"/>
        </w:rPr>
        <w:t>“school”</w:t>
      </w:r>
      <w:r w:rsidRPr="00A71B19">
        <w:rPr>
          <w:lang w:val="en-GB"/>
        </w:rPr>
        <w:t xml:space="preserve"> refers to any educational setting.</w:t>
      </w:r>
    </w:p>
    <w:p w:rsidR="00EE30B8" w:rsidRPr="00EE30B8" w:rsidRDefault="00EE30B8" w:rsidP="00EE30B8">
      <w:pPr>
        <w:pStyle w:val="ListParagraph"/>
        <w:numPr>
          <w:ilvl w:val="0"/>
          <w:numId w:val="18"/>
        </w:numPr>
        <w:jc w:val="both"/>
      </w:pPr>
      <w:r>
        <w:t xml:space="preserve">The universal recommendations refer to </w:t>
      </w:r>
      <w:r w:rsidRPr="00A71B19">
        <w:rPr>
          <w:b/>
        </w:rPr>
        <w:t>“persons with disabilities”</w:t>
      </w:r>
      <w:r>
        <w:t>, i</w:t>
      </w:r>
      <w:r w:rsidRPr="00A71B19">
        <w:t>n line with the UN-CRPD t</w:t>
      </w:r>
      <w:r>
        <w:t xml:space="preserve">erminology; the UK-specific recommendations refer to </w:t>
      </w:r>
      <w:r w:rsidRPr="00A71B19">
        <w:rPr>
          <w:b/>
        </w:rPr>
        <w:t>“</w:t>
      </w:r>
      <w:r>
        <w:rPr>
          <w:b/>
        </w:rPr>
        <w:t>disabled people</w:t>
      </w:r>
      <w:r w:rsidRPr="00A71B19">
        <w:rPr>
          <w:b/>
        </w:rPr>
        <w:t>”</w:t>
      </w:r>
      <w:r>
        <w:t>, in line with terminology recommended by UK disabled people’s organisations.</w:t>
      </w:r>
    </w:p>
    <w:p w:rsidR="008E07FE" w:rsidRPr="00A71B19" w:rsidRDefault="008E07FE" w:rsidP="00D67858">
      <w:pPr>
        <w:spacing w:after="0"/>
        <w:rPr>
          <w:sz w:val="24"/>
          <w:szCs w:val="24"/>
        </w:rPr>
      </w:pPr>
    </w:p>
    <w:p w:rsidR="001E0AA4" w:rsidRPr="00A71B19" w:rsidRDefault="00E051C1" w:rsidP="00D67858">
      <w:pPr>
        <w:pStyle w:val="ListParagraph"/>
        <w:numPr>
          <w:ilvl w:val="0"/>
          <w:numId w:val="11"/>
        </w:numPr>
        <w:rPr>
          <w:b/>
          <w:sz w:val="24"/>
          <w:szCs w:val="24"/>
          <w:lang w:val="en-US"/>
        </w:rPr>
      </w:pPr>
      <w:r w:rsidRPr="00A71B19">
        <w:rPr>
          <w:b/>
          <w:sz w:val="24"/>
          <w:szCs w:val="24"/>
          <w:lang w:val="en-US"/>
        </w:rPr>
        <w:t>Recommendations</w:t>
      </w:r>
    </w:p>
    <w:tbl>
      <w:tblPr>
        <w:tblW w:w="1413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top w:w="142" w:type="dxa"/>
          <w:left w:w="70" w:type="dxa"/>
          <w:bottom w:w="142" w:type="dxa"/>
          <w:right w:w="70" w:type="dxa"/>
        </w:tblCellMar>
        <w:tblLook w:val="04A0" w:firstRow="1" w:lastRow="0" w:firstColumn="1" w:lastColumn="0" w:noHBand="0" w:noVBand="1"/>
      </w:tblPr>
      <w:tblGrid>
        <w:gridCol w:w="1710"/>
        <w:gridCol w:w="3603"/>
        <w:gridCol w:w="4587"/>
        <w:gridCol w:w="4230"/>
      </w:tblGrid>
      <w:tr w:rsidR="00A71B19" w:rsidRPr="00A71B19" w:rsidTr="00FE6795">
        <w:trPr>
          <w:trHeight w:val="284"/>
        </w:trPr>
        <w:tc>
          <w:tcPr>
            <w:tcW w:w="1710" w:type="dxa"/>
            <w:shd w:val="clear" w:color="auto" w:fill="D9D9D9" w:themeFill="background1" w:themeFillShade="D9"/>
          </w:tcPr>
          <w:p w:rsidR="00A71B19" w:rsidRPr="00A71B19" w:rsidRDefault="00A71B19" w:rsidP="00D67858">
            <w:pPr>
              <w:spacing w:after="0"/>
              <w:rPr>
                <w:rFonts w:eastAsia="Times New Roman" w:cs="Times New Roman"/>
                <w:b/>
                <w:bCs/>
                <w:color w:val="000000"/>
                <w:lang w:eastAsia="de-DE"/>
              </w:rPr>
            </w:pPr>
            <w:r w:rsidRPr="00A71B19">
              <w:rPr>
                <w:rFonts w:eastAsia="Times New Roman" w:cs="Times New Roman"/>
                <w:b/>
                <w:bCs/>
                <w:color w:val="000000"/>
                <w:lang w:eastAsia="de-DE"/>
              </w:rPr>
              <w:t>Dimension</w:t>
            </w:r>
          </w:p>
        </w:tc>
        <w:tc>
          <w:tcPr>
            <w:tcW w:w="3603" w:type="dxa"/>
            <w:shd w:val="clear" w:color="auto" w:fill="F2F2F2" w:themeFill="background1" w:themeFillShade="F2"/>
          </w:tcPr>
          <w:p w:rsidR="00A71B19" w:rsidRPr="00A71B19" w:rsidRDefault="00A71B19" w:rsidP="00367AB8">
            <w:pPr>
              <w:spacing w:after="0"/>
              <w:rPr>
                <w:rFonts w:eastAsia="Times New Roman" w:cs="Times New Roman"/>
                <w:b/>
                <w:bCs/>
                <w:color w:val="000000"/>
                <w:lang w:eastAsia="de-DE"/>
              </w:rPr>
            </w:pPr>
            <w:r w:rsidRPr="00A71B19">
              <w:rPr>
                <w:rFonts w:eastAsia="Times New Roman" w:cs="Times New Roman"/>
                <w:b/>
                <w:bCs/>
                <w:color w:val="000000"/>
                <w:lang w:eastAsia="de-DE"/>
              </w:rPr>
              <w:t>Link to UN- CRPD</w:t>
            </w:r>
          </w:p>
        </w:tc>
        <w:tc>
          <w:tcPr>
            <w:tcW w:w="4587" w:type="dxa"/>
          </w:tcPr>
          <w:p w:rsidR="00A71B19" w:rsidRPr="00A71B19" w:rsidRDefault="00A71B19" w:rsidP="00367AB8">
            <w:pPr>
              <w:spacing w:after="0"/>
              <w:ind w:left="360"/>
              <w:jc w:val="both"/>
              <w:rPr>
                <w:rFonts w:ascii="Calibri" w:eastAsia="Times New Roman" w:hAnsi="Calibri" w:cs="Times New Roman"/>
                <w:b/>
                <w:bCs/>
                <w:color w:val="000000"/>
                <w:lang w:val="en-US" w:eastAsia="de-DE"/>
              </w:rPr>
            </w:pPr>
            <w:r w:rsidRPr="00A71B19">
              <w:rPr>
                <w:rFonts w:ascii="Calibri" w:eastAsia="Times New Roman" w:hAnsi="Calibri" w:cs="Times New Roman"/>
                <w:b/>
                <w:bCs/>
                <w:color w:val="000000"/>
                <w:lang w:val="en-US" w:eastAsia="de-DE"/>
              </w:rPr>
              <w:t>Universal recommendations</w:t>
            </w:r>
          </w:p>
        </w:tc>
        <w:tc>
          <w:tcPr>
            <w:tcW w:w="4230" w:type="dxa"/>
            <w:shd w:val="clear" w:color="auto" w:fill="auto"/>
          </w:tcPr>
          <w:p w:rsidR="00A71B19" w:rsidRPr="00A71B19" w:rsidRDefault="004E6622" w:rsidP="00D67858">
            <w:pPr>
              <w:spacing w:after="0"/>
              <w:ind w:left="360"/>
              <w:jc w:val="both"/>
              <w:rPr>
                <w:rFonts w:ascii="Calibri" w:eastAsia="Times New Roman" w:hAnsi="Calibri" w:cs="Times New Roman"/>
                <w:b/>
                <w:bCs/>
                <w:color w:val="000000"/>
                <w:lang w:val="en-US" w:eastAsia="de-DE"/>
              </w:rPr>
            </w:pPr>
            <w:r>
              <w:rPr>
                <w:rFonts w:ascii="Calibri" w:eastAsia="Times New Roman" w:hAnsi="Calibri" w:cs="Times New Roman"/>
                <w:b/>
                <w:bCs/>
                <w:color w:val="000000"/>
                <w:lang w:val="en-US" w:eastAsia="de-DE"/>
              </w:rPr>
              <w:t xml:space="preserve">Additional </w:t>
            </w:r>
            <w:r w:rsidR="00A71B19" w:rsidRPr="00A71B19">
              <w:rPr>
                <w:rFonts w:ascii="Calibri" w:eastAsia="Times New Roman" w:hAnsi="Calibri" w:cs="Times New Roman"/>
                <w:b/>
                <w:bCs/>
                <w:color w:val="000000"/>
                <w:lang w:val="en-US" w:eastAsia="de-DE"/>
              </w:rPr>
              <w:t>UK-specific recommendations</w:t>
            </w:r>
          </w:p>
        </w:tc>
      </w:tr>
      <w:tr w:rsidR="00A71B19" w:rsidRPr="00A71B19" w:rsidTr="00FE6795">
        <w:trPr>
          <w:trHeight w:val="284"/>
        </w:trPr>
        <w:tc>
          <w:tcPr>
            <w:tcW w:w="1710" w:type="dxa"/>
            <w:shd w:val="clear" w:color="auto" w:fill="D9D9D9" w:themeFill="background1" w:themeFillShade="D9"/>
          </w:tcPr>
          <w:p w:rsidR="00A71B19" w:rsidRPr="00A71B19" w:rsidRDefault="00A71B19" w:rsidP="00D67858">
            <w:pPr>
              <w:spacing w:after="0"/>
              <w:rPr>
                <w:rFonts w:eastAsia="Times New Roman" w:cs="Times New Roman"/>
                <w:b/>
                <w:bCs/>
                <w:color w:val="000000"/>
                <w:lang w:eastAsia="de-DE"/>
              </w:rPr>
            </w:pPr>
            <w:r w:rsidRPr="00A71B19">
              <w:rPr>
                <w:rFonts w:eastAsia="Times New Roman" w:cs="Times New Roman"/>
                <w:b/>
                <w:bCs/>
                <w:color w:val="000000"/>
                <w:lang w:eastAsia="de-DE"/>
              </w:rPr>
              <w:t>Legal framework</w:t>
            </w:r>
          </w:p>
        </w:tc>
        <w:tc>
          <w:tcPr>
            <w:tcW w:w="3603" w:type="dxa"/>
            <w:shd w:val="clear" w:color="auto" w:fill="F2F2F2" w:themeFill="background1" w:themeFillShade="F2"/>
          </w:tcPr>
          <w:p w:rsidR="00A71B19" w:rsidRPr="00A71B19" w:rsidRDefault="00A71B19" w:rsidP="00A71B19">
            <w:pPr>
              <w:spacing w:after="0"/>
              <w:rPr>
                <w:rFonts w:eastAsia="Times New Roman" w:cs="Times New Roman"/>
                <w:b/>
                <w:bCs/>
                <w:color w:val="000000"/>
                <w:lang w:eastAsia="de-DE"/>
              </w:rPr>
            </w:pPr>
            <w:r w:rsidRPr="00A71B19">
              <w:rPr>
                <w:rFonts w:eastAsia="Times New Roman" w:cs="Times New Roman"/>
                <w:b/>
                <w:bCs/>
                <w:color w:val="000000"/>
                <w:lang w:eastAsia="de-DE"/>
              </w:rPr>
              <w:t>General Comment no.4, Section V, para.62</w:t>
            </w:r>
          </w:p>
          <w:p w:rsidR="00A71B19" w:rsidRDefault="00A71B19" w:rsidP="00A71B19">
            <w:pPr>
              <w:spacing w:after="0"/>
            </w:pPr>
            <w:r w:rsidRPr="00A71B19">
              <w:t>States parties, at every level, must implement or introduce legislation based on the human rights model of disability that fully complies with article 24.</w:t>
            </w:r>
          </w:p>
          <w:p w:rsidR="00A71B19" w:rsidRPr="00A71B19" w:rsidRDefault="00A71B19" w:rsidP="00A71B19">
            <w:pPr>
              <w:spacing w:after="0"/>
              <w:rPr>
                <w:rFonts w:eastAsia="Times New Roman" w:cs="Times New Roman"/>
                <w:b/>
                <w:bCs/>
                <w:color w:val="000000"/>
                <w:lang w:eastAsia="de-DE"/>
              </w:rPr>
            </w:pPr>
          </w:p>
          <w:p w:rsidR="00A71B19" w:rsidRPr="00A71B19" w:rsidRDefault="00A71B19" w:rsidP="00367AB8">
            <w:pPr>
              <w:spacing w:after="0"/>
              <w:rPr>
                <w:rFonts w:eastAsia="Times New Roman" w:cs="Times New Roman"/>
                <w:b/>
                <w:bCs/>
                <w:color w:val="000000"/>
                <w:lang w:eastAsia="de-DE"/>
              </w:rPr>
            </w:pPr>
            <w:r w:rsidRPr="00A71B19">
              <w:rPr>
                <w:rFonts w:eastAsia="Times New Roman" w:cs="Times New Roman"/>
                <w:b/>
                <w:bCs/>
                <w:color w:val="000000"/>
                <w:lang w:eastAsia="de-DE"/>
              </w:rPr>
              <w:t>General Comment no.4, Section V, para.6</w:t>
            </w:r>
            <w:r>
              <w:rPr>
                <w:rFonts w:eastAsia="Times New Roman" w:cs="Times New Roman"/>
                <w:b/>
                <w:bCs/>
                <w:color w:val="000000"/>
                <w:lang w:eastAsia="de-DE"/>
              </w:rPr>
              <w:t>3</w:t>
            </w:r>
          </w:p>
          <w:p w:rsidR="00A71B19" w:rsidRDefault="00A71B19" w:rsidP="00367AB8">
            <w:pPr>
              <w:spacing w:after="0"/>
            </w:pPr>
            <w:r w:rsidRPr="00F6680D">
              <w:t>A comprehensive and coordinated legislative and policy framework for inclusive education must be introduced</w:t>
            </w:r>
            <w:r w:rsidRPr="00A71B19">
              <w:t xml:space="preserve"> </w:t>
            </w:r>
            <w:r>
              <w:t>(…) Key elements will include: (…)</w:t>
            </w:r>
          </w:p>
          <w:p w:rsidR="00A71B19" w:rsidRPr="00A71B19" w:rsidRDefault="00A71B19" w:rsidP="00F91B37">
            <w:pPr>
              <w:spacing w:after="0"/>
              <w:rPr>
                <w:rFonts w:eastAsia="Times New Roman" w:cs="Times New Roman"/>
                <w:bCs/>
                <w:color w:val="000000"/>
                <w:lang w:eastAsia="de-DE"/>
              </w:rPr>
            </w:pPr>
            <w:r w:rsidRPr="00A71B19">
              <w:t>The clear statement, in all legislation with the potential to have an impact on inclusive education, that inclusion is a concrete goal;</w:t>
            </w:r>
          </w:p>
        </w:tc>
        <w:tc>
          <w:tcPr>
            <w:tcW w:w="4587" w:type="dxa"/>
          </w:tcPr>
          <w:p w:rsidR="00A71B19" w:rsidRPr="00A71B19" w:rsidRDefault="00A71B19" w:rsidP="00A71B19">
            <w:pPr>
              <w:pStyle w:val="ListParagraph"/>
              <w:numPr>
                <w:ilvl w:val="0"/>
                <w:numId w:val="16"/>
              </w:numPr>
              <w:jc w:val="both"/>
              <w:rPr>
                <w:rFonts w:ascii="Calibri" w:eastAsia="Times New Roman" w:hAnsi="Calibri" w:cs="Times New Roman"/>
                <w:b/>
                <w:bCs/>
                <w:color w:val="000000"/>
                <w:lang w:val="en-US" w:eastAsia="de-DE"/>
              </w:rPr>
            </w:pPr>
            <w:r w:rsidRPr="00A71B19">
              <w:rPr>
                <w:rFonts w:ascii="Calibri" w:eastAsia="Times New Roman" w:hAnsi="Calibri" w:cs="Times New Roman"/>
                <w:b/>
                <w:bCs/>
                <w:color w:val="000000"/>
                <w:lang w:val="en-US" w:eastAsia="de-DE"/>
              </w:rPr>
              <w:t>Law for assistance services in school</w:t>
            </w:r>
            <w:r>
              <w:rPr>
                <w:rFonts w:ascii="Calibri" w:eastAsia="Times New Roman" w:hAnsi="Calibri" w:cs="Times New Roman"/>
                <w:b/>
                <w:bCs/>
                <w:color w:val="000000"/>
                <w:lang w:val="en-US" w:eastAsia="de-DE"/>
              </w:rPr>
              <w:t>s</w:t>
            </w:r>
          </w:p>
          <w:p w:rsidR="00A71B19" w:rsidRPr="00F91B37" w:rsidRDefault="00A71B19" w:rsidP="00367AB8">
            <w:pPr>
              <w:spacing w:after="0"/>
              <w:ind w:left="720"/>
              <w:jc w:val="both"/>
              <w:rPr>
                <w:rFonts w:ascii="Calibri" w:eastAsia="Times New Roman" w:hAnsi="Calibri" w:cs="Times New Roman"/>
                <w:bCs/>
                <w:lang w:eastAsia="de-DE"/>
              </w:rPr>
            </w:pPr>
            <w:r w:rsidRPr="00F91B37">
              <w:rPr>
                <w:rFonts w:ascii="Calibri" w:eastAsia="Times New Roman" w:hAnsi="Calibri" w:cs="Times New Roman"/>
                <w:bCs/>
                <w:lang w:val="en-US" w:eastAsia="de-DE"/>
              </w:rPr>
              <w:t xml:space="preserve">A </w:t>
            </w:r>
            <w:r w:rsidRPr="00F91B37">
              <w:rPr>
                <w:rFonts w:ascii="Calibri" w:eastAsia="Times New Roman" w:hAnsi="Calibri" w:cs="Times New Roman"/>
                <w:bCs/>
                <w:lang w:eastAsia="de-DE"/>
              </w:rPr>
              <w:t>strong and clear legal framework is needed at local, national and EU level, which is consistent with the UN Convention on the Rights of Persons with Disabilities (UN-CRPD).  This should define the role of assistance services (performance description) within an inclusive educational system and clearly articulate the necessity to establish and maintain assistance services throughout all levels of education, from preschool to university.</w:t>
            </w:r>
          </w:p>
          <w:p w:rsidR="00A71B19" w:rsidRPr="00A71B19" w:rsidRDefault="00A71B19" w:rsidP="00367AB8">
            <w:pPr>
              <w:spacing w:after="0"/>
              <w:ind w:left="720"/>
              <w:jc w:val="both"/>
              <w:rPr>
                <w:rFonts w:ascii="Calibri" w:eastAsia="Times New Roman" w:hAnsi="Calibri" w:cs="Times New Roman"/>
                <w:bCs/>
                <w:lang w:eastAsia="de-DE"/>
              </w:rPr>
            </w:pPr>
            <w:r w:rsidRPr="00A71B19">
              <w:rPr>
                <w:rFonts w:ascii="Calibri" w:eastAsia="Times New Roman" w:hAnsi="Calibri" w:cs="Times New Roman"/>
                <w:bCs/>
                <w:lang w:eastAsia="de-DE"/>
              </w:rPr>
              <w:t>Laws need to: a) clarify the right of children and young people with disabilities to inclusive education; and b) describe how this should be done.</w:t>
            </w:r>
          </w:p>
        </w:tc>
        <w:tc>
          <w:tcPr>
            <w:tcW w:w="4230" w:type="dxa"/>
            <w:shd w:val="clear" w:color="auto" w:fill="auto"/>
          </w:tcPr>
          <w:p w:rsidR="00246BCB" w:rsidRDefault="00246BCB" w:rsidP="007E7238">
            <w:pPr>
              <w:spacing w:after="0"/>
              <w:jc w:val="both"/>
              <w:rPr>
                <w:rFonts w:ascii="Calibri" w:eastAsia="Times New Roman" w:hAnsi="Calibri" w:cs="Times New Roman"/>
                <w:bCs/>
                <w:color w:val="000000"/>
                <w:lang w:eastAsia="de-DE"/>
              </w:rPr>
            </w:pPr>
            <w:r>
              <w:rPr>
                <w:rFonts w:ascii="Calibri" w:eastAsia="Times New Roman" w:hAnsi="Calibri" w:cs="Times New Roman"/>
                <w:bCs/>
                <w:color w:val="000000"/>
                <w:lang w:val="en-US" w:eastAsia="de-DE"/>
              </w:rPr>
              <w:t>T</w:t>
            </w:r>
            <w:r w:rsidR="00DE19CD">
              <w:rPr>
                <w:rFonts w:ascii="Calibri" w:eastAsia="Times New Roman" w:hAnsi="Calibri" w:cs="Times New Roman"/>
                <w:bCs/>
                <w:color w:val="000000"/>
                <w:lang w:val="en-US" w:eastAsia="de-DE"/>
              </w:rPr>
              <w:t xml:space="preserve">he Children and Families Act 2014 and revised Code of Practice </w:t>
            </w:r>
            <w:r>
              <w:rPr>
                <w:rFonts w:ascii="Calibri" w:eastAsia="Times New Roman" w:hAnsi="Calibri" w:cs="Times New Roman"/>
                <w:bCs/>
                <w:color w:val="000000"/>
                <w:lang w:val="en-US" w:eastAsia="de-DE"/>
              </w:rPr>
              <w:t xml:space="preserve">do not convey the commitment to inclusive education articulated in Article 24 of the </w:t>
            </w:r>
            <w:r w:rsidR="00A71B19" w:rsidRPr="00A71B19">
              <w:rPr>
                <w:rFonts w:ascii="Calibri" w:eastAsia="Times New Roman" w:hAnsi="Calibri" w:cs="Times New Roman"/>
                <w:bCs/>
                <w:color w:val="000000"/>
                <w:lang w:eastAsia="de-DE"/>
              </w:rPr>
              <w:t>UN Convention on the Rights of Persons with Disabilities (UN-CRPD).</w:t>
            </w:r>
            <w:r w:rsidR="00D93EFE">
              <w:rPr>
                <w:rFonts w:ascii="Calibri" w:eastAsia="Times New Roman" w:hAnsi="Calibri" w:cs="Times New Roman"/>
                <w:bCs/>
                <w:color w:val="000000"/>
                <w:lang w:eastAsia="de-DE"/>
              </w:rPr>
              <w:t xml:space="preserve">  </w:t>
            </w:r>
            <w:r>
              <w:rPr>
                <w:rFonts w:ascii="Calibri" w:eastAsia="Times New Roman" w:hAnsi="Calibri" w:cs="Times New Roman"/>
                <w:bCs/>
                <w:color w:val="000000"/>
                <w:lang w:eastAsia="de-DE"/>
              </w:rPr>
              <w:t xml:space="preserve">  The 2001 statutory guidance</w:t>
            </w:r>
            <w:r w:rsidR="00A71B19" w:rsidRPr="00A71B19">
              <w:rPr>
                <w:rFonts w:ascii="Calibri" w:eastAsia="Times New Roman" w:hAnsi="Calibri" w:cs="Times New Roman"/>
                <w:bCs/>
                <w:color w:val="000000"/>
                <w:lang w:eastAsia="de-DE"/>
              </w:rPr>
              <w:t xml:space="preserve"> </w:t>
            </w:r>
            <w:r>
              <w:rPr>
                <w:rFonts w:ascii="Calibri" w:eastAsia="Times New Roman" w:hAnsi="Calibri" w:cs="Times New Roman"/>
                <w:bCs/>
                <w:color w:val="000000"/>
                <w:lang w:eastAsia="de-DE"/>
              </w:rPr>
              <w:t xml:space="preserve">on Inclusive Schooling can be updated and reinstated, to ensure schools respond to diversity in ways that are consistent with </w:t>
            </w:r>
            <w:r w:rsidR="00D93EFE">
              <w:rPr>
                <w:rFonts w:ascii="Calibri" w:eastAsia="Times New Roman" w:hAnsi="Calibri" w:cs="Times New Roman"/>
                <w:bCs/>
                <w:color w:val="000000"/>
                <w:lang w:eastAsia="de-DE"/>
              </w:rPr>
              <w:t xml:space="preserve">the UN-CRPD and </w:t>
            </w:r>
            <w:r w:rsidR="00D416B5">
              <w:rPr>
                <w:rFonts w:ascii="Calibri" w:eastAsia="Times New Roman" w:hAnsi="Calibri" w:cs="Times New Roman"/>
                <w:bCs/>
                <w:color w:val="000000"/>
                <w:lang w:eastAsia="de-DE"/>
              </w:rPr>
              <w:t>with their</w:t>
            </w:r>
            <w:r>
              <w:rPr>
                <w:rFonts w:ascii="Calibri" w:eastAsia="Times New Roman" w:hAnsi="Calibri" w:cs="Times New Roman"/>
                <w:bCs/>
                <w:color w:val="000000"/>
                <w:lang w:eastAsia="de-DE"/>
              </w:rPr>
              <w:t xml:space="preserve"> </w:t>
            </w:r>
            <w:r w:rsidR="00D93EFE">
              <w:rPr>
                <w:rFonts w:ascii="Calibri" w:eastAsia="Times New Roman" w:hAnsi="Calibri" w:cs="Times New Roman"/>
                <w:bCs/>
                <w:color w:val="000000"/>
                <w:lang w:eastAsia="de-DE"/>
              </w:rPr>
              <w:t xml:space="preserve">statutory </w:t>
            </w:r>
            <w:r>
              <w:rPr>
                <w:rFonts w:ascii="Calibri" w:eastAsia="Times New Roman" w:hAnsi="Calibri" w:cs="Times New Roman"/>
                <w:bCs/>
                <w:color w:val="000000"/>
                <w:lang w:eastAsia="de-DE"/>
              </w:rPr>
              <w:t>duties under the Equality Act 2010.</w:t>
            </w:r>
          </w:p>
          <w:p w:rsidR="00246BCB" w:rsidRDefault="00246BCB" w:rsidP="00A00B5B">
            <w:pPr>
              <w:spacing w:after="0"/>
              <w:jc w:val="both"/>
              <w:rPr>
                <w:rFonts w:ascii="Calibri" w:eastAsia="Times New Roman" w:hAnsi="Calibri" w:cs="Times New Roman"/>
                <w:bCs/>
                <w:color w:val="000000"/>
                <w:lang w:eastAsia="de-DE"/>
              </w:rPr>
            </w:pPr>
          </w:p>
          <w:p w:rsidR="00246BCB" w:rsidRPr="00A71B19" w:rsidRDefault="00A00B5B" w:rsidP="007E7238">
            <w:pPr>
              <w:spacing w:after="0"/>
              <w:jc w:val="both"/>
              <w:rPr>
                <w:rFonts w:ascii="Calibri" w:eastAsia="Times New Roman" w:hAnsi="Calibri" w:cs="Times New Roman"/>
                <w:bCs/>
                <w:lang w:eastAsia="de-DE"/>
              </w:rPr>
            </w:pPr>
            <w:r>
              <w:rPr>
                <w:rFonts w:ascii="Calibri" w:eastAsia="Times New Roman" w:hAnsi="Calibri" w:cs="Times New Roman"/>
                <w:bCs/>
                <w:color w:val="000000"/>
                <w:lang w:eastAsia="de-DE"/>
              </w:rPr>
              <w:t xml:space="preserve">The Equality and Human Rights Commission (EHRC) </w:t>
            </w:r>
            <w:r w:rsidR="007E7238">
              <w:rPr>
                <w:rFonts w:ascii="Calibri" w:eastAsia="Times New Roman" w:hAnsi="Calibri" w:cs="Times New Roman"/>
                <w:bCs/>
                <w:color w:val="000000"/>
                <w:lang w:eastAsia="de-DE"/>
              </w:rPr>
              <w:t xml:space="preserve">in its 2012 report “Out in the open: Tackling disability related harassment – a manifesto for change” recommended that primary </w:t>
            </w:r>
            <w:r w:rsidR="007E7238">
              <w:t>research is needed on the impact of segregated education on attitudes to disabled people.  This is still outstanding.</w:t>
            </w:r>
          </w:p>
        </w:tc>
      </w:tr>
      <w:tr w:rsidR="00A71B19" w:rsidRPr="00A71B19" w:rsidTr="00FE6795">
        <w:trPr>
          <w:trHeight w:val="284"/>
        </w:trPr>
        <w:tc>
          <w:tcPr>
            <w:tcW w:w="1710" w:type="dxa"/>
            <w:shd w:val="clear" w:color="auto" w:fill="D9D9D9" w:themeFill="background1" w:themeFillShade="D9"/>
            <w:hideMark/>
          </w:tcPr>
          <w:p w:rsidR="00A71B19" w:rsidRPr="00A71B19" w:rsidRDefault="00A71B19" w:rsidP="00D67858">
            <w:pPr>
              <w:spacing w:after="0"/>
              <w:rPr>
                <w:rFonts w:eastAsia="Times New Roman" w:cs="Times New Roman"/>
                <w:b/>
                <w:bCs/>
                <w:color w:val="000000"/>
                <w:lang w:eastAsia="de-DE"/>
              </w:rPr>
            </w:pPr>
            <w:r w:rsidRPr="00A71B19">
              <w:rPr>
                <w:rFonts w:eastAsia="Times New Roman" w:cs="Times New Roman"/>
                <w:b/>
                <w:bCs/>
                <w:color w:val="000000"/>
                <w:lang w:eastAsia="de-DE"/>
              </w:rPr>
              <w:t xml:space="preserve">Financial Framework </w:t>
            </w:r>
            <w:r w:rsidRPr="00A71B19">
              <w:rPr>
                <w:rFonts w:eastAsia="Times New Roman" w:cs="Times New Roman"/>
                <w:b/>
                <w:bCs/>
                <w:color w:val="000000"/>
                <w:lang w:eastAsia="de-DE"/>
              </w:rPr>
              <w:br/>
              <w:t>of the service</w:t>
            </w:r>
          </w:p>
        </w:tc>
        <w:tc>
          <w:tcPr>
            <w:tcW w:w="3603" w:type="dxa"/>
            <w:shd w:val="clear" w:color="auto" w:fill="F2F2F2" w:themeFill="background1" w:themeFillShade="F2"/>
          </w:tcPr>
          <w:p w:rsidR="00A71B19" w:rsidRPr="00A71B19" w:rsidRDefault="00A71B19" w:rsidP="00367AB8">
            <w:pPr>
              <w:spacing w:after="0"/>
              <w:rPr>
                <w:rFonts w:eastAsia="Times New Roman" w:cs="Times New Roman"/>
                <w:b/>
                <w:bCs/>
                <w:color w:val="000000"/>
                <w:lang w:eastAsia="de-DE"/>
              </w:rPr>
            </w:pPr>
            <w:r w:rsidRPr="00A71B19">
              <w:rPr>
                <w:rFonts w:eastAsia="Times New Roman" w:cs="Times New Roman"/>
                <w:b/>
                <w:bCs/>
                <w:color w:val="000000"/>
                <w:lang w:eastAsia="de-DE"/>
              </w:rPr>
              <w:t>General Comment no.4, Introduction, para.4</w:t>
            </w:r>
          </w:p>
          <w:p w:rsidR="00A71B19" w:rsidRPr="00A71B19" w:rsidRDefault="00A71B19" w:rsidP="00367AB8">
            <w:pPr>
              <w:spacing w:after="0"/>
            </w:pPr>
            <w:r w:rsidRPr="00A71B19">
              <w:t xml:space="preserve">Barriers that impede access to inclusive education for persons with </w:t>
            </w:r>
            <w:r w:rsidRPr="00A71B19">
              <w:lastRenderedPageBreak/>
              <w:t xml:space="preserve">disabilities can be attributed to multiple factors, including: </w:t>
            </w:r>
          </w:p>
          <w:p w:rsidR="00A71B19" w:rsidRPr="00A71B19" w:rsidRDefault="00A71B19" w:rsidP="00367AB8">
            <w:pPr>
              <w:spacing w:after="0"/>
            </w:pPr>
            <w:r w:rsidRPr="00A71B19">
              <w:t xml:space="preserve">(f) Inappropriate and inadequate funding mechanisms to provide incentives and reasonable accommodations for the inclusion of students with disabilities, </w:t>
            </w:r>
            <w:proofErr w:type="spellStart"/>
            <w:r w:rsidRPr="00A71B19">
              <w:t>interministerial</w:t>
            </w:r>
            <w:proofErr w:type="spellEnd"/>
            <w:r w:rsidRPr="00A71B19">
              <w:t xml:space="preserve"> coordination, support and sustainability;</w:t>
            </w:r>
          </w:p>
          <w:p w:rsidR="00A71B19" w:rsidRPr="00A71B19" w:rsidRDefault="00A71B19" w:rsidP="00367AB8">
            <w:pPr>
              <w:spacing w:after="0"/>
              <w:rPr>
                <w:sz w:val="16"/>
                <w:szCs w:val="16"/>
              </w:rPr>
            </w:pPr>
          </w:p>
          <w:p w:rsidR="00A71B19" w:rsidRPr="00A71B19" w:rsidRDefault="00A71B19" w:rsidP="00F90340">
            <w:pPr>
              <w:spacing w:after="0"/>
              <w:rPr>
                <w:rFonts w:eastAsia="Times New Roman" w:cs="Times New Roman"/>
                <w:b/>
                <w:bCs/>
                <w:color w:val="000000"/>
                <w:lang w:eastAsia="de-DE"/>
              </w:rPr>
            </w:pPr>
            <w:r w:rsidRPr="00A71B19">
              <w:rPr>
                <w:rFonts w:eastAsia="Times New Roman" w:cs="Times New Roman"/>
                <w:b/>
                <w:bCs/>
                <w:color w:val="000000"/>
                <w:lang w:eastAsia="de-DE"/>
              </w:rPr>
              <w:t>General Comment no.4, Section V, para.63 (f)</w:t>
            </w:r>
          </w:p>
          <w:p w:rsidR="00A71B19" w:rsidRPr="00A71B19" w:rsidRDefault="00A71B19" w:rsidP="00367AB8">
            <w:pPr>
              <w:spacing w:after="0"/>
            </w:pPr>
            <w:r w:rsidRPr="00A71B19">
              <w:t>The introduction of comprehensive quality standards for inclusive education and disability-inclusive monitoring mechanisms to track progress in implementation at all levels and ensure that policies and programmes are implemented and backed by the requisite investment;</w:t>
            </w:r>
          </w:p>
          <w:p w:rsidR="00A71B19" w:rsidRPr="00A71B19" w:rsidRDefault="00A71B19" w:rsidP="00367AB8">
            <w:pPr>
              <w:spacing w:after="0"/>
              <w:rPr>
                <w:sz w:val="18"/>
                <w:szCs w:val="18"/>
              </w:rPr>
            </w:pPr>
          </w:p>
          <w:p w:rsidR="00A71B19" w:rsidRPr="00A71B19" w:rsidRDefault="00A71B19" w:rsidP="00367AB8">
            <w:pPr>
              <w:spacing w:after="0"/>
              <w:rPr>
                <w:rFonts w:eastAsia="Times New Roman" w:cs="Times New Roman"/>
                <w:b/>
                <w:bCs/>
                <w:color w:val="000000"/>
                <w:lang w:eastAsia="de-DE"/>
              </w:rPr>
            </w:pPr>
            <w:r w:rsidRPr="00A71B19">
              <w:rPr>
                <w:rFonts w:eastAsia="Times New Roman" w:cs="Times New Roman"/>
                <w:b/>
                <w:bCs/>
                <w:color w:val="000000"/>
                <w:lang w:eastAsia="de-DE"/>
              </w:rPr>
              <w:t>General Comment no.4, Section V, para.69</w:t>
            </w:r>
          </w:p>
          <w:p w:rsidR="00A71B19" w:rsidRPr="00A71B19" w:rsidRDefault="00A71B19" w:rsidP="00367AB8">
            <w:pPr>
              <w:spacing w:after="0"/>
            </w:pPr>
            <w:r w:rsidRPr="00A71B19">
              <w:t xml:space="preserve">States parties must commit sufficient financial and human resources throughout the development of an education sector plan and of cross-sectoral plans to support the </w:t>
            </w:r>
            <w:r w:rsidRPr="00A71B19">
              <w:lastRenderedPageBreak/>
              <w:t xml:space="preserve">implementation of inclusive education, consistent with the principle of progressive realization. </w:t>
            </w:r>
          </w:p>
          <w:p w:rsidR="00A71B19" w:rsidRPr="00A71B19" w:rsidRDefault="00A71B19" w:rsidP="00367AB8">
            <w:pPr>
              <w:spacing w:after="0"/>
              <w:rPr>
                <w:sz w:val="18"/>
                <w:szCs w:val="18"/>
              </w:rPr>
            </w:pPr>
          </w:p>
          <w:p w:rsidR="00A71B19" w:rsidRPr="00A71B19" w:rsidRDefault="00A71B19" w:rsidP="00367AB8">
            <w:pPr>
              <w:spacing w:after="0"/>
              <w:rPr>
                <w:rFonts w:eastAsia="Times New Roman" w:cs="Times New Roman"/>
                <w:b/>
                <w:bCs/>
                <w:color w:val="000000"/>
                <w:lang w:eastAsia="de-DE"/>
              </w:rPr>
            </w:pPr>
            <w:r w:rsidRPr="00A71B19">
              <w:rPr>
                <w:rFonts w:eastAsia="Times New Roman" w:cs="Times New Roman"/>
                <w:b/>
                <w:bCs/>
                <w:color w:val="000000"/>
                <w:lang w:eastAsia="de-DE"/>
              </w:rPr>
              <w:t>General Comment no.4, Section V, para.70</w:t>
            </w:r>
          </w:p>
          <w:p w:rsidR="00A71B19" w:rsidRPr="00A71B19" w:rsidRDefault="00A71B19" w:rsidP="00F90340">
            <w:pPr>
              <w:spacing w:after="0"/>
              <w:rPr>
                <w:rFonts w:eastAsia="Times New Roman" w:cs="Times New Roman"/>
                <w:b/>
                <w:bCs/>
                <w:color w:val="000000"/>
                <w:lang w:eastAsia="de-DE"/>
              </w:rPr>
            </w:pPr>
            <w:r w:rsidRPr="00A71B19">
              <w:t>The Committee urges States parties to transfer resources from segregated to inclusive environments.</w:t>
            </w:r>
          </w:p>
        </w:tc>
        <w:tc>
          <w:tcPr>
            <w:tcW w:w="4587" w:type="dxa"/>
          </w:tcPr>
          <w:p w:rsidR="00A71B19" w:rsidRPr="00A71B19" w:rsidRDefault="00A71B19" w:rsidP="00A71B19">
            <w:pPr>
              <w:pStyle w:val="ListParagraph"/>
              <w:numPr>
                <w:ilvl w:val="0"/>
                <w:numId w:val="6"/>
              </w:numPr>
              <w:rPr>
                <w:rFonts w:ascii="Calibri" w:eastAsia="Times New Roman" w:hAnsi="Calibri" w:cs="Times New Roman"/>
                <w:b/>
                <w:bCs/>
                <w:color w:val="000000"/>
                <w:lang w:eastAsia="de-DE"/>
              </w:rPr>
            </w:pPr>
            <w:r w:rsidRPr="00A71B19">
              <w:rPr>
                <w:rFonts w:ascii="Calibri" w:eastAsia="Times New Roman" w:hAnsi="Calibri" w:cs="Times New Roman"/>
                <w:b/>
                <w:bCs/>
                <w:color w:val="000000"/>
                <w:lang w:eastAsia="de-DE"/>
              </w:rPr>
              <w:lastRenderedPageBreak/>
              <w:t>Funds available</w:t>
            </w:r>
          </w:p>
          <w:p w:rsidR="00A71B19" w:rsidRPr="00A71B19" w:rsidRDefault="00A71B19" w:rsidP="00367AB8">
            <w:pPr>
              <w:spacing w:after="0"/>
              <w:ind w:left="720"/>
              <w:jc w:val="both"/>
              <w:rPr>
                <w:rFonts w:ascii="Calibri" w:eastAsia="Times New Roman" w:hAnsi="Calibri" w:cs="Times New Roman"/>
                <w:bCs/>
                <w:color w:val="000000"/>
                <w:lang w:eastAsia="de-DE"/>
              </w:rPr>
            </w:pPr>
            <w:r w:rsidRPr="00A71B19">
              <w:rPr>
                <w:rFonts w:ascii="Calibri" w:eastAsia="Times New Roman" w:hAnsi="Calibri" w:cs="Times New Roman"/>
                <w:bCs/>
                <w:color w:val="000000"/>
                <w:lang w:eastAsia="de-DE"/>
              </w:rPr>
              <w:t xml:space="preserve">Resources for assistance services, whether from federal, local or regional budgets, have to be available so that </w:t>
            </w:r>
            <w:r w:rsidRPr="00A71B19">
              <w:rPr>
                <w:rFonts w:ascii="Calibri" w:eastAsia="Times New Roman" w:hAnsi="Calibri" w:cs="Times New Roman"/>
                <w:bCs/>
                <w:color w:val="000000"/>
                <w:lang w:eastAsia="de-DE"/>
              </w:rPr>
              <w:lastRenderedPageBreak/>
              <w:t xml:space="preserve">every pupil who needs assistance in </w:t>
            </w:r>
            <w:r w:rsidRPr="00A71B19">
              <w:rPr>
                <w:rFonts w:ascii="Calibri" w:eastAsia="Times New Roman" w:hAnsi="Calibri" w:cs="Times New Roman"/>
                <w:bCs/>
                <w:lang w:eastAsia="de-DE"/>
              </w:rPr>
              <w:t>every school h</w:t>
            </w:r>
            <w:r w:rsidRPr="00A71B19">
              <w:rPr>
                <w:rFonts w:ascii="Calibri" w:eastAsia="Times New Roman" w:hAnsi="Calibri" w:cs="Times New Roman"/>
                <w:bCs/>
                <w:color w:val="000000"/>
                <w:lang w:eastAsia="de-DE"/>
              </w:rPr>
              <w:t xml:space="preserve">as equal access to the service.  </w:t>
            </w:r>
          </w:p>
          <w:p w:rsidR="00A71B19" w:rsidRPr="00A71B19" w:rsidRDefault="00A71B19" w:rsidP="00A71B19">
            <w:pPr>
              <w:pStyle w:val="ListParagraph"/>
              <w:numPr>
                <w:ilvl w:val="0"/>
                <w:numId w:val="6"/>
              </w:numPr>
              <w:jc w:val="both"/>
              <w:rPr>
                <w:rFonts w:ascii="Calibri" w:eastAsia="Times New Roman" w:hAnsi="Calibri" w:cs="Times New Roman"/>
                <w:b/>
                <w:bCs/>
                <w:lang w:val="en-US" w:eastAsia="de-DE"/>
              </w:rPr>
            </w:pPr>
            <w:r w:rsidRPr="00A71B19">
              <w:rPr>
                <w:rFonts w:ascii="Calibri" w:eastAsia="Times New Roman" w:hAnsi="Calibri" w:cs="Times New Roman"/>
                <w:b/>
                <w:bCs/>
                <w:lang w:val="en-US" w:eastAsia="de-DE"/>
              </w:rPr>
              <w:t>Funds for all</w:t>
            </w:r>
          </w:p>
          <w:p w:rsidR="00A71B19" w:rsidRPr="00A71B19" w:rsidRDefault="00A71B19" w:rsidP="00367AB8">
            <w:pPr>
              <w:spacing w:after="0"/>
              <w:ind w:left="720"/>
              <w:jc w:val="both"/>
              <w:rPr>
                <w:rFonts w:ascii="Calibri" w:eastAsia="Times New Roman" w:hAnsi="Calibri" w:cs="Times New Roman"/>
                <w:bCs/>
                <w:color w:val="000000"/>
                <w:lang w:eastAsia="de-DE"/>
              </w:rPr>
            </w:pPr>
            <w:r w:rsidRPr="00A71B19">
              <w:rPr>
                <w:rFonts w:ascii="Calibri" w:eastAsia="Times New Roman" w:hAnsi="Calibri" w:cs="Times New Roman"/>
                <w:bCs/>
                <w:color w:val="000000"/>
                <w:lang w:eastAsia="de-DE"/>
              </w:rPr>
              <w:t xml:space="preserve">Every school needs dedicated resources for supporting the learning and development of all pupils in school.  </w:t>
            </w:r>
          </w:p>
          <w:p w:rsidR="00A71B19" w:rsidRPr="00A71B19" w:rsidRDefault="00A71B19" w:rsidP="00A71B19">
            <w:pPr>
              <w:pStyle w:val="ListParagraph"/>
              <w:numPr>
                <w:ilvl w:val="0"/>
                <w:numId w:val="6"/>
              </w:numPr>
              <w:jc w:val="both"/>
              <w:rPr>
                <w:rFonts w:ascii="Calibri" w:eastAsia="Times New Roman" w:hAnsi="Calibri" w:cs="Times New Roman"/>
                <w:b/>
                <w:bCs/>
                <w:lang w:val="en-US" w:eastAsia="de-DE"/>
              </w:rPr>
            </w:pPr>
            <w:r w:rsidRPr="00A71B19">
              <w:rPr>
                <w:rFonts w:ascii="Calibri" w:eastAsia="Times New Roman" w:hAnsi="Calibri" w:cs="Times New Roman"/>
                <w:b/>
                <w:bCs/>
                <w:lang w:val="en-US" w:eastAsia="de-DE"/>
              </w:rPr>
              <w:t>Additional funds for some</w:t>
            </w:r>
          </w:p>
          <w:p w:rsidR="00A71B19" w:rsidRPr="00A71B19" w:rsidRDefault="00A71B19" w:rsidP="00367AB8">
            <w:pPr>
              <w:spacing w:after="0"/>
              <w:ind w:left="720"/>
              <w:jc w:val="both"/>
              <w:rPr>
                <w:rFonts w:ascii="Calibri" w:eastAsia="Times New Roman" w:hAnsi="Calibri" w:cs="Times New Roman"/>
                <w:bCs/>
                <w:lang w:val="en-US" w:eastAsia="de-DE"/>
              </w:rPr>
            </w:pPr>
            <w:r w:rsidRPr="00A71B19">
              <w:rPr>
                <w:rFonts w:ascii="Calibri" w:eastAsia="Times New Roman" w:hAnsi="Calibri" w:cs="Times New Roman"/>
                <w:bCs/>
                <w:lang w:val="en-US" w:eastAsia="de-DE"/>
              </w:rPr>
              <w:t>If pupils need assistance which is different from and additional to what is ordinarily provided for all pupils, adequate funds should be available for this too.</w:t>
            </w:r>
          </w:p>
          <w:p w:rsidR="00A71B19" w:rsidRPr="00A71B19" w:rsidRDefault="00A71B19" w:rsidP="00A71B19">
            <w:pPr>
              <w:pStyle w:val="ListParagraph"/>
              <w:numPr>
                <w:ilvl w:val="1"/>
                <w:numId w:val="6"/>
              </w:numPr>
              <w:jc w:val="both"/>
              <w:rPr>
                <w:rFonts w:ascii="Calibri" w:eastAsia="Times New Roman" w:hAnsi="Calibri" w:cs="Times New Roman"/>
                <w:b/>
                <w:bCs/>
                <w:color w:val="000000"/>
                <w:lang w:eastAsia="de-DE"/>
              </w:rPr>
            </w:pPr>
            <w:r w:rsidRPr="00A71B19">
              <w:rPr>
                <w:rFonts w:ascii="Calibri" w:eastAsia="Times New Roman" w:hAnsi="Calibri" w:cs="Times New Roman"/>
                <w:b/>
                <w:bCs/>
                <w:color w:val="000000"/>
                <w:lang w:eastAsia="de-DE"/>
              </w:rPr>
              <w:t>Assessment independent of provision</w:t>
            </w:r>
          </w:p>
          <w:p w:rsidR="00A71B19" w:rsidRPr="00A71B19" w:rsidRDefault="00A71B19" w:rsidP="00367AB8">
            <w:pPr>
              <w:spacing w:after="0"/>
              <w:ind w:left="1080"/>
              <w:jc w:val="both"/>
              <w:rPr>
                <w:rFonts w:ascii="Calibri" w:eastAsia="Times New Roman" w:hAnsi="Calibri" w:cs="Times New Roman"/>
                <w:bCs/>
                <w:lang w:val="en-US" w:eastAsia="de-DE"/>
              </w:rPr>
            </w:pPr>
            <w:r w:rsidRPr="00A71B19">
              <w:rPr>
                <w:rFonts w:ascii="Calibri" w:eastAsia="Times New Roman" w:hAnsi="Calibri" w:cs="Times New Roman"/>
                <w:bCs/>
                <w:color w:val="000000"/>
                <w:lang w:eastAsia="de-DE"/>
              </w:rPr>
              <w:t>The amount and type of resources</w:t>
            </w:r>
            <w:r w:rsidRPr="00A71B19">
              <w:rPr>
                <w:rFonts w:ascii="Calibri" w:eastAsia="Times New Roman" w:hAnsi="Calibri" w:cs="Times New Roman"/>
                <w:bCs/>
                <w:color w:val="000000"/>
                <w:lang w:val="en-US" w:eastAsia="de-DE"/>
              </w:rPr>
              <w:t xml:space="preserve"> should be decided by an independent institution, not by the provider of the support service, </w:t>
            </w:r>
            <w:r w:rsidRPr="00A71B19">
              <w:rPr>
                <w:rFonts w:ascii="Calibri" w:eastAsia="Times New Roman" w:hAnsi="Calibri" w:cs="Times New Roman"/>
                <w:bCs/>
                <w:lang w:val="en-US" w:eastAsia="de-DE"/>
              </w:rPr>
              <w:t xml:space="preserve">on the basis of clear and binding statutory guidance.  </w:t>
            </w:r>
          </w:p>
          <w:p w:rsidR="00A71B19" w:rsidRPr="00A71B19" w:rsidRDefault="00A71B19" w:rsidP="00A71B19">
            <w:pPr>
              <w:pStyle w:val="ListParagraph"/>
              <w:numPr>
                <w:ilvl w:val="1"/>
                <w:numId w:val="6"/>
              </w:numPr>
              <w:jc w:val="both"/>
              <w:rPr>
                <w:rFonts w:ascii="Calibri" w:eastAsia="Times New Roman" w:hAnsi="Calibri" w:cs="Times New Roman"/>
                <w:b/>
                <w:bCs/>
                <w:color w:val="000000"/>
                <w:lang w:val="en-GB" w:eastAsia="de-DE"/>
              </w:rPr>
            </w:pPr>
            <w:r w:rsidRPr="00A71B19">
              <w:rPr>
                <w:rFonts w:ascii="Calibri" w:eastAsia="Times New Roman" w:hAnsi="Calibri" w:cs="Times New Roman"/>
                <w:b/>
                <w:bCs/>
                <w:lang w:val="en-US" w:eastAsia="de-DE"/>
              </w:rPr>
              <w:t>Timeframe</w:t>
            </w:r>
          </w:p>
          <w:p w:rsidR="00A71B19" w:rsidRPr="00A71B19" w:rsidRDefault="00A71B19" w:rsidP="00367AB8">
            <w:pPr>
              <w:spacing w:after="0"/>
              <w:ind w:left="1080"/>
              <w:jc w:val="both"/>
              <w:rPr>
                <w:rFonts w:ascii="Calibri" w:eastAsia="Times New Roman" w:hAnsi="Calibri" w:cs="Times New Roman"/>
                <w:bCs/>
                <w:color w:val="000000"/>
                <w:lang w:eastAsia="de-DE"/>
              </w:rPr>
            </w:pPr>
            <w:r w:rsidRPr="00A71B19">
              <w:rPr>
                <w:rFonts w:ascii="Calibri" w:eastAsia="Times New Roman" w:hAnsi="Calibri" w:cs="Times New Roman"/>
                <w:bCs/>
                <w:lang w:val="en-US" w:eastAsia="de-DE"/>
              </w:rPr>
              <w:t xml:space="preserve">Such decisions should be taken within a timeframe consistent with statutory guidance, or emergency procedures put in place until a considered position is reached. </w:t>
            </w:r>
          </w:p>
          <w:p w:rsidR="00A71B19" w:rsidRPr="00A71B19" w:rsidRDefault="00A71B19" w:rsidP="00A71B19">
            <w:pPr>
              <w:pStyle w:val="ListParagraph"/>
              <w:numPr>
                <w:ilvl w:val="0"/>
                <w:numId w:val="6"/>
              </w:numPr>
              <w:jc w:val="both"/>
              <w:rPr>
                <w:rFonts w:ascii="Calibri" w:eastAsia="Times New Roman" w:hAnsi="Calibri" w:cs="Times New Roman"/>
                <w:b/>
                <w:bCs/>
                <w:color w:val="000000"/>
                <w:lang w:val="en-US" w:eastAsia="de-DE"/>
              </w:rPr>
            </w:pPr>
            <w:r w:rsidRPr="00A71B19">
              <w:rPr>
                <w:rFonts w:ascii="Calibri" w:eastAsia="Times New Roman" w:hAnsi="Calibri" w:cs="Times New Roman"/>
                <w:b/>
                <w:bCs/>
                <w:color w:val="000000"/>
                <w:lang w:eastAsia="de-DE"/>
              </w:rPr>
              <w:t>Remuneration of assistants</w:t>
            </w:r>
          </w:p>
          <w:p w:rsidR="00A71B19" w:rsidRPr="00A71B19" w:rsidRDefault="00A71B19" w:rsidP="00367AB8">
            <w:pPr>
              <w:spacing w:after="0"/>
              <w:ind w:left="720"/>
              <w:jc w:val="both"/>
              <w:rPr>
                <w:rFonts w:ascii="Calibri" w:eastAsia="Times New Roman" w:hAnsi="Calibri" w:cs="Times New Roman"/>
                <w:bCs/>
                <w:lang w:val="en-US" w:eastAsia="de-DE"/>
              </w:rPr>
            </w:pPr>
            <w:r w:rsidRPr="00A71B19">
              <w:rPr>
                <w:rFonts w:ascii="Calibri" w:eastAsia="Times New Roman" w:hAnsi="Calibri" w:cs="Times New Roman"/>
                <w:bCs/>
                <w:lang w:val="en-US" w:eastAsia="de-DE"/>
              </w:rPr>
              <w:t xml:space="preserve">In determining remuneration, special </w:t>
            </w:r>
            <w:r w:rsidRPr="00A71B19">
              <w:rPr>
                <w:rFonts w:ascii="Calibri" w:eastAsia="Times New Roman" w:hAnsi="Calibri" w:cs="Times New Roman"/>
                <w:bCs/>
                <w:lang w:val="en-US" w:eastAsia="de-DE"/>
              </w:rPr>
              <w:lastRenderedPageBreak/>
              <w:t xml:space="preserve">consideration should be given to </w:t>
            </w:r>
            <w:r w:rsidRPr="00A71B19">
              <w:rPr>
                <w:rFonts w:ascii="Calibri" w:eastAsia="Times New Roman" w:hAnsi="Calibri" w:cs="Times New Roman"/>
                <w:bCs/>
                <w:i/>
                <w:lang w:val="en-US" w:eastAsia="de-DE"/>
              </w:rPr>
              <w:t>all</w:t>
            </w:r>
            <w:r w:rsidRPr="00A71B19">
              <w:rPr>
                <w:rFonts w:ascii="Calibri" w:eastAsia="Times New Roman" w:hAnsi="Calibri" w:cs="Times New Roman"/>
                <w:bCs/>
                <w:lang w:val="en-US" w:eastAsia="de-DE"/>
              </w:rPr>
              <w:t xml:space="preserve"> duties of assistants: the main focus is working with children but additional time should be allocated for preparation, supervision, liaison with other staff, participation at relevant meetings, etc.</w:t>
            </w:r>
          </w:p>
        </w:tc>
        <w:tc>
          <w:tcPr>
            <w:tcW w:w="4230" w:type="dxa"/>
            <w:shd w:val="clear" w:color="auto" w:fill="auto"/>
          </w:tcPr>
          <w:p w:rsidR="00057878" w:rsidRDefault="00057878" w:rsidP="00057878">
            <w:pPr>
              <w:ind w:left="360"/>
              <w:jc w:val="both"/>
              <w:rPr>
                <w:rFonts w:ascii="Calibri" w:eastAsia="Times New Roman" w:hAnsi="Calibri" w:cs="Times New Roman"/>
                <w:b/>
                <w:bCs/>
                <w:lang w:val="en-US" w:eastAsia="de-DE"/>
              </w:rPr>
            </w:pPr>
          </w:p>
          <w:p w:rsidR="005C5093" w:rsidRDefault="005C5093" w:rsidP="00057878">
            <w:pPr>
              <w:ind w:left="360"/>
              <w:jc w:val="both"/>
              <w:rPr>
                <w:rFonts w:ascii="Calibri" w:eastAsia="Times New Roman" w:hAnsi="Calibri" w:cs="Times New Roman"/>
                <w:b/>
                <w:bCs/>
                <w:lang w:val="en-US" w:eastAsia="de-DE"/>
              </w:rPr>
            </w:pPr>
          </w:p>
          <w:p w:rsidR="005C5093" w:rsidRDefault="005C5093" w:rsidP="00057878">
            <w:pPr>
              <w:ind w:left="360"/>
              <w:jc w:val="both"/>
              <w:rPr>
                <w:rFonts w:ascii="Calibri" w:eastAsia="Times New Roman" w:hAnsi="Calibri" w:cs="Times New Roman"/>
                <w:b/>
                <w:bCs/>
                <w:lang w:val="en-US" w:eastAsia="de-DE"/>
              </w:rPr>
            </w:pPr>
          </w:p>
          <w:p w:rsidR="005C5093" w:rsidRDefault="005C5093" w:rsidP="00057878">
            <w:pPr>
              <w:ind w:left="360"/>
              <w:jc w:val="both"/>
              <w:rPr>
                <w:rFonts w:ascii="Calibri" w:eastAsia="Times New Roman" w:hAnsi="Calibri" w:cs="Times New Roman"/>
                <w:b/>
                <w:bCs/>
                <w:lang w:val="en-US" w:eastAsia="de-DE"/>
              </w:rPr>
            </w:pPr>
          </w:p>
          <w:p w:rsidR="005C5093" w:rsidRDefault="005C5093" w:rsidP="00057878">
            <w:pPr>
              <w:ind w:left="360"/>
              <w:jc w:val="both"/>
              <w:rPr>
                <w:rFonts w:ascii="Calibri" w:eastAsia="Times New Roman" w:hAnsi="Calibri" w:cs="Times New Roman"/>
                <w:b/>
                <w:bCs/>
                <w:lang w:val="en-US" w:eastAsia="de-DE"/>
              </w:rPr>
            </w:pPr>
          </w:p>
          <w:p w:rsidR="005C5093" w:rsidRDefault="005C5093" w:rsidP="00057878">
            <w:pPr>
              <w:ind w:left="360"/>
              <w:jc w:val="both"/>
              <w:rPr>
                <w:rFonts w:ascii="Calibri" w:eastAsia="Times New Roman" w:hAnsi="Calibri" w:cs="Times New Roman"/>
                <w:b/>
                <w:bCs/>
                <w:lang w:val="en-US" w:eastAsia="de-DE"/>
              </w:rPr>
            </w:pPr>
          </w:p>
          <w:p w:rsidR="005C5093" w:rsidRDefault="005C5093" w:rsidP="00057878">
            <w:pPr>
              <w:ind w:left="360"/>
              <w:jc w:val="both"/>
              <w:rPr>
                <w:rFonts w:ascii="Calibri" w:eastAsia="Times New Roman" w:hAnsi="Calibri" w:cs="Times New Roman"/>
                <w:b/>
                <w:bCs/>
                <w:lang w:val="en-US" w:eastAsia="de-DE"/>
              </w:rPr>
            </w:pPr>
          </w:p>
          <w:p w:rsidR="008D28CC" w:rsidRDefault="008D28CC" w:rsidP="008D28CC">
            <w:pPr>
              <w:jc w:val="both"/>
              <w:rPr>
                <w:rFonts w:ascii="Calibri" w:eastAsia="Times New Roman" w:hAnsi="Calibri" w:cs="Times New Roman"/>
                <w:b/>
                <w:bCs/>
                <w:lang w:val="en-US" w:eastAsia="de-DE"/>
              </w:rPr>
            </w:pPr>
          </w:p>
          <w:p w:rsidR="005C5093" w:rsidRPr="008D28CC" w:rsidRDefault="005C5093" w:rsidP="00057878">
            <w:pPr>
              <w:ind w:left="360"/>
              <w:jc w:val="both"/>
              <w:rPr>
                <w:rFonts w:ascii="Calibri" w:eastAsia="Times New Roman" w:hAnsi="Calibri" w:cs="Times New Roman"/>
                <w:bCs/>
                <w:sz w:val="16"/>
                <w:szCs w:val="16"/>
                <w:lang w:val="en-US" w:eastAsia="de-DE"/>
              </w:rPr>
            </w:pPr>
          </w:p>
          <w:p w:rsidR="008D28CC" w:rsidRPr="008D28CC" w:rsidRDefault="008D28CC" w:rsidP="00057878">
            <w:pPr>
              <w:ind w:left="360"/>
              <w:jc w:val="both"/>
              <w:rPr>
                <w:rFonts w:ascii="Calibri" w:eastAsia="Times New Roman" w:hAnsi="Calibri" w:cs="Times New Roman"/>
                <w:bCs/>
                <w:sz w:val="16"/>
                <w:szCs w:val="16"/>
                <w:lang w:val="en-US" w:eastAsia="de-DE"/>
              </w:rPr>
            </w:pPr>
          </w:p>
          <w:p w:rsidR="005C5093" w:rsidRPr="008D28CC" w:rsidRDefault="005C5093" w:rsidP="00057878">
            <w:pPr>
              <w:ind w:left="360"/>
              <w:jc w:val="both"/>
              <w:rPr>
                <w:rFonts w:ascii="Calibri" w:eastAsia="Times New Roman" w:hAnsi="Calibri" w:cs="Times New Roman"/>
                <w:bCs/>
                <w:sz w:val="16"/>
                <w:szCs w:val="16"/>
                <w:lang w:val="en-US" w:eastAsia="de-DE"/>
              </w:rPr>
            </w:pPr>
          </w:p>
          <w:p w:rsidR="008D28CC" w:rsidRPr="008D28CC" w:rsidRDefault="008D28CC" w:rsidP="00057878">
            <w:pPr>
              <w:ind w:left="360"/>
              <w:jc w:val="both"/>
              <w:rPr>
                <w:rFonts w:ascii="Calibri" w:eastAsia="Times New Roman" w:hAnsi="Calibri" w:cs="Times New Roman"/>
                <w:bCs/>
                <w:lang w:val="en-US" w:eastAsia="de-DE"/>
              </w:rPr>
            </w:pPr>
            <w:r w:rsidRPr="008D28CC">
              <w:rPr>
                <w:rFonts w:ascii="Calibri" w:eastAsia="Times New Roman" w:hAnsi="Calibri" w:cs="Times New Roman"/>
                <w:bCs/>
                <w:lang w:val="en-US" w:eastAsia="de-DE"/>
              </w:rPr>
              <w:t xml:space="preserve">This is already in place in the UK </w:t>
            </w:r>
          </w:p>
          <w:p w:rsidR="008D28CC" w:rsidRDefault="008D28CC" w:rsidP="00057878">
            <w:pPr>
              <w:ind w:left="360"/>
              <w:jc w:val="both"/>
              <w:rPr>
                <w:rFonts w:ascii="Calibri" w:eastAsia="Times New Roman" w:hAnsi="Calibri" w:cs="Times New Roman"/>
                <w:b/>
                <w:bCs/>
                <w:sz w:val="16"/>
                <w:szCs w:val="16"/>
                <w:lang w:val="en-US" w:eastAsia="de-DE"/>
              </w:rPr>
            </w:pPr>
          </w:p>
          <w:p w:rsidR="008D28CC" w:rsidRDefault="008D28CC" w:rsidP="00057878">
            <w:pPr>
              <w:ind w:left="360"/>
              <w:jc w:val="both"/>
              <w:rPr>
                <w:rFonts w:ascii="Calibri" w:eastAsia="Times New Roman" w:hAnsi="Calibri" w:cs="Times New Roman"/>
                <w:b/>
                <w:bCs/>
                <w:sz w:val="16"/>
                <w:szCs w:val="16"/>
                <w:lang w:val="en-US" w:eastAsia="de-DE"/>
              </w:rPr>
            </w:pPr>
          </w:p>
          <w:p w:rsidR="00363378" w:rsidRPr="00F90340" w:rsidRDefault="00363378" w:rsidP="00363378">
            <w:pPr>
              <w:jc w:val="both"/>
              <w:rPr>
                <w:rFonts w:ascii="Calibri" w:eastAsia="Times New Roman" w:hAnsi="Calibri" w:cs="Times New Roman"/>
                <w:b/>
                <w:bCs/>
                <w:sz w:val="18"/>
                <w:szCs w:val="18"/>
                <w:lang w:val="en-US" w:eastAsia="de-DE"/>
              </w:rPr>
            </w:pPr>
          </w:p>
          <w:p w:rsidR="005C5093" w:rsidRPr="008D28CC" w:rsidRDefault="005C5093" w:rsidP="00057878">
            <w:pPr>
              <w:ind w:left="360"/>
              <w:jc w:val="both"/>
              <w:rPr>
                <w:rFonts w:ascii="Calibri" w:eastAsia="Times New Roman" w:hAnsi="Calibri" w:cs="Times New Roman"/>
                <w:b/>
                <w:bCs/>
                <w:sz w:val="16"/>
                <w:szCs w:val="16"/>
                <w:lang w:val="en-US" w:eastAsia="de-DE"/>
              </w:rPr>
            </w:pPr>
          </w:p>
          <w:p w:rsidR="005C5093" w:rsidRDefault="008D28CC" w:rsidP="00057878">
            <w:pPr>
              <w:ind w:left="360"/>
              <w:jc w:val="both"/>
              <w:rPr>
                <w:rFonts w:ascii="Calibri" w:eastAsia="Times New Roman" w:hAnsi="Calibri" w:cs="Times New Roman"/>
                <w:b/>
                <w:bCs/>
                <w:lang w:val="en-US" w:eastAsia="de-DE"/>
              </w:rPr>
            </w:pPr>
            <w:r>
              <w:rPr>
                <w:rFonts w:ascii="Calibri" w:eastAsia="Times New Roman" w:hAnsi="Calibri" w:cs="Times New Roman"/>
                <w:bCs/>
                <w:lang w:val="en-US" w:eastAsia="de-DE"/>
              </w:rPr>
              <w:t>This too is in place in principle, though it is not clear how it works in practice in all areas.</w:t>
            </w:r>
          </w:p>
          <w:p w:rsidR="005C5093" w:rsidRDefault="005C5093" w:rsidP="00057878">
            <w:pPr>
              <w:ind w:left="360"/>
              <w:jc w:val="both"/>
              <w:rPr>
                <w:rFonts w:ascii="Calibri" w:eastAsia="Times New Roman" w:hAnsi="Calibri" w:cs="Times New Roman"/>
                <w:b/>
                <w:bCs/>
                <w:lang w:val="en-US" w:eastAsia="de-DE"/>
              </w:rPr>
            </w:pPr>
          </w:p>
          <w:p w:rsidR="005C5093" w:rsidRDefault="005C5093" w:rsidP="00057878">
            <w:pPr>
              <w:ind w:left="360"/>
              <w:jc w:val="both"/>
              <w:rPr>
                <w:rFonts w:ascii="Calibri" w:eastAsia="Times New Roman" w:hAnsi="Calibri" w:cs="Times New Roman"/>
                <w:b/>
                <w:bCs/>
                <w:lang w:val="en-US" w:eastAsia="de-DE"/>
              </w:rPr>
            </w:pPr>
          </w:p>
          <w:p w:rsidR="005C5093" w:rsidRDefault="005C5093" w:rsidP="00057878">
            <w:pPr>
              <w:ind w:left="360"/>
              <w:jc w:val="both"/>
              <w:rPr>
                <w:rFonts w:ascii="Calibri" w:eastAsia="Times New Roman" w:hAnsi="Calibri" w:cs="Times New Roman"/>
                <w:b/>
                <w:bCs/>
                <w:lang w:val="en-US" w:eastAsia="de-DE"/>
              </w:rPr>
            </w:pPr>
          </w:p>
          <w:p w:rsidR="005C5093" w:rsidRDefault="005C5093" w:rsidP="00057878">
            <w:pPr>
              <w:ind w:left="360"/>
              <w:jc w:val="both"/>
              <w:rPr>
                <w:rFonts w:ascii="Calibri" w:eastAsia="Times New Roman" w:hAnsi="Calibri" w:cs="Times New Roman"/>
                <w:b/>
                <w:bCs/>
                <w:lang w:val="en-US" w:eastAsia="de-DE"/>
              </w:rPr>
            </w:pPr>
          </w:p>
          <w:p w:rsidR="005C5093" w:rsidRPr="00A71B19" w:rsidRDefault="005C5093" w:rsidP="00D67858">
            <w:pPr>
              <w:spacing w:after="0"/>
              <w:ind w:left="720"/>
              <w:jc w:val="both"/>
              <w:rPr>
                <w:rFonts w:ascii="Calibri" w:eastAsia="Times New Roman" w:hAnsi="Calibri" w:cs="Times New Roman"/>
                <w:bCs/>
                <w:lang w:val="en-US" w:eastAsia="de-DE"/>
              </w:rPr>
            </w:pPr>
          </w:p>
        </w:tc>
      </w:tr>
      <w:tr w:rsidR="00A71B19" w:rsidRPr="00A71B19" w:rsidTr="00FE6795">
        <w:trPr>
          <w:trHeight w:val="284"/>
        </w:trPr>
        <w:tc>
          <w:tcPr>
            <w:tcW w:w="1710" w:type="dxa"/>
            <w:shd w:val="clear" w:color="auto" w:fill="D9D9D9" w:themeFill="background1" w:themeFillShade="D9"/>
            <w:hideMark/>
          </w:tcPr>
          <w:p w:rsidR="00A71B19" w:rsidRPr="00A71B19" w:rsidRDefault="00A71B19" w:rsidP="00D67858">
            <w:pPr>
              <w:spacing w:after="0"/>
              <w:rPr>
                <w:rFonts w:eastAsia="Times New Roman" w:cs="Times New Roman"/>
                <w:b/>
                <w:bCs/>
                <w:color w:val="000000"/>
                <w:lang w:eastAsia="de-DE"/>
              </w:rPr>
            </w:pPr>
            <w:r w:rsidRPr="00A71B19">
              <w:rPr>
                <w:rFonts w:eastAsia="Times New Roman" w:cs="Times New Roman"/>
                <w:b/>
                <w:bCs/>
                <w:color w:val="000000"/>
                <w:lang w:eastAsia="de-DE"/>
              </w:rPr>
              <w:lastRenderedPageBreak/>
              <w:t>Organization and Administration of the service</w:t>
            </w:r>
          </w:p>
        </w:tc>
        <w:tc>
          <w:tcPr>
            <w:tcW w:w="3603" w:type="dxa"/>
            <w:shd w:val="clear" w:color="auto" w:fill="F2F2F2" w:themeFill="background1" w:themeFillShade="F2"/>
          </w:tcPr>
          <w:p w:rsidR="00A71B19" w:rsidRPr="00A71B19" w:rsidRDefault="00A71B19" w:rsidP="00367AB8">
            <w:pPr>
              <w:spacing w:after="0"/>
              <w:rPr>
                <w:rFonts w:eastAsia="Times New Roman" w:cs="Times New Roman"/>
                <w:b/>
                <w:bCs/>
                <w:color w:val="000000"/>
                <w:lang w:eastAsia="de-DE"/>
              </w:rPr>
            </w:pPr>
            <w:r w:rsidRPr="00A71B19">
              <w:rPr>
                <w:rFonts w:eastAsia="Times New Roman" w:cs="Times New Roman"/>
                <w:b/>
                <w:bCs/>
                <w:color w:val="000000"/>
                <w:lang w:eastAsia="de-DE"/>
              </w:rPr>
              <w:t>Article 33 para.1</w:t>
            </w:r>
          </w:p>
          <w:p w:rsidR="00A71B19" w:rsidRPr="00A71B19" w:rsidRDefault="00A71B19" w:rsidP="00367AB8">
            <w:pPr>
              <w:spacing w:after="0"/>
              <w:rPr>
                <w:rFonts w:eastAsia="Times New Roman" w:cs="Times New Roman"/>
                <w:bCs/>
                <w:color w:val="000000"/>
                <w:lang w:eastAsia="de-DE"/>
              </w:rPr>
            </w:pPr>
            <w:r w:rsidRPr="00A71B19">
              <w:rPr>
                <w:rFonts w:eastAsia="Times New Roman" w:cs="Times New Roman"/>
                <w:bCs/>
                <w:color w:val="000000"/>
                <w:lang w:eastAsia="de-DE"/>
              </w:rPr>
              <w:t>States Parties, in accordance with their system of organization, shall designate one or more focal points within government for matters relating to the implementation of the present Convention, and shall give due consideration to the establishment or designation of a coordination mechanism within government to facilitate related action in different sectors and at different levels.</w:t>
            </w:r>
          </w:p>
          <w:p w:rsidR="00A71B19" w:rsidRPr="00A71B19" w:rsidRDefault="00A71B19" w:rsidP="00367AB8">
            <w:pPr>
              <w:spacing w:after="0"/>
              <w:rPr>
                <w:rFonts w:eastAsia="Times New Roman" w:cs="Times New Roman"/>
                <w:bCs/>
                <w:color w:val="000000"/>
                <w:lang w:eastAsia="de-DE"/>
              </w:rPr>
            </w:pPr>
          </w:p>
          <w:p w:rsidR="00A71B19" w:rsidRPr="00A71B19" w:rsidRDefault="00A71B19" w:rsidP="00367AB8">
            <w:pPr>
              <w:spacing w:after="0"/>
              <w:rPr>
                <w:rFonts w:eastAsia="Times New Roman" w:cs="Times New Roman"/>
                <w:b/>
                <w:bCs/>
                <w:color w:val="000000"/>
                <w:lang w:eastAsia="de-DE"/>
              </w:rPr>
            </w:pPr>
            <w:r w:rsidRPr="00A71B19">
              <w:rPr>
                <w:rFonts w:eastAsia="Times New Roman" w:cs="Times New Roman"/>
                <w:b/>
                <w:bCs/>
                <w:color w:val="000000"/>
                <w:lang w:eastAsia="de-DE"/>
              </w:rPr>
              <w:t>General Comment no.4, Introduction, para.4</w:t>
            </w:r>
          </w:p>
          <w:p w:rsidR="00A71B19" w:rsidRPr="00A71B19" w:rsidRDefault="00A71B19" w:rsidP="00367AB8">
            <w:pPr>
              <w:spacing w:after="0"/>
            </w:pPr>
            <w:r w:rsidRPr="00A71B19">
              <w:t xml:space="preserve">Barriers that impede access to inclusive education for persons with </w:t>
            </w:r>
            <w:r w:rsidRPr="00A71B19">
              <w:lastRenderedPageBreak/>
              <w:t>disabilities can be attributed to multiple factors, including:</w:t>
            </w:r>
          </w:p>
          <w:p w:rsidR="00A71B19" w:rsidRPr="00A71B19" w:rsidRDefault="00A71B19" w:rsidP="00367AB8">
            <w:pPr>
              <w:spacing w:after="0"/>
              <w:rPr>
                <w:rFonts w:eastAsia="Times New Roman" w:cs="Times New Roman"/>
                <w:bCs/>
                <w:color w:val="000000"/>
                <w:lang w:eastAsia="de-DE"/>
              </w:rPr>
            </w:pPr>
            <w:r w:rsidRPr="00A71B19">
              <w:rPr>
                <w:rFonts w:eastAsia="Times New Roman" w:cs="Times New Roman"/>
                <w:bCs/>
                <w:color w:val="000000"/>
                <w:lang w:eastAsia="de-DE"/>
              </w:rPr>
              <w:t>(g) Lack of legal remedies and mechanisms to claim redress for violations.</w:t>
            </w:r>
          </w:p>
          <w:p w:rsidR="00A71B19" w:rsidRPr="00A71B19" w:rsidRDefault="00A71B19" w:rsidP="00367AB8">
            <w:pPr>
              <w:spacing w:after="0"/>
              <w:rPr>
                <w:rFonts w:eastAsia="Times New Roman" w:cs="Times New Roman"/>
                <w:b/>
                <w:bCs/>
                <w:color w:val="000000"/>
                <w:lang w:eastAsia="de-DE"/>
              </w:rPr>
            </w:pPr>
          </w:p>
          <w:p w:rsidR="00A71B19" w:rsidRPr="00A71B19" w:rsidRDefault="00A71B19" w:rsidP="00367AB8">
            <w:pPr>
              <w:spacing w:after="0"/>
              <w:rPr>
                <w:rFonts w:eastAsia="Times New Roman" w:cs="Times New Roman"/>
                <w:b/>
                <w:bCs/>
                <w:color w:val="000000"/>
                <w:lang w:eastAsia="de-DE"/>
              </w:rPr>
            </w:pPr>
            <w:r w:rsidRPr="00A71B19">
              <w:rPr>
                <w:rFonts w:eastAsia="Times New Roman" w:cs="Times New Roman"/>
                <w:b/>
                <w:bCs/>
                <w:color w:val="000000"/>
                <w:lang w:eastAsia="de-DE"/>
              </w:rPr>
              <w:t>General Comment no.4, Section V, para.65</w:t>
            </w:r>
          </w:p>
          <w:p w:rsidR="00A71B19" w:rsidRPr="00A71B19" w:rsidRDefault="00A71B19" w:rsidP="00367AB8">
            <w:pPr>
              <w:spacing w:after="0"/>
              <w:rPr>
                <w:rFonts w:eastAsia="Times New Roman" w:cs="Times New Roman"/>
                <w:bCs/>
                <w:color w:val="000000"/>
                <w:lang w:eastAsia="de-DE"/>
              </w:rPr>
            </w:pPr>
            <w:r w:rsidRPr="00A71B19">
              <w:t>States parties must introduce independent, effective, accessible, transparent, safe and enforceable complaints mechanisms and legal remedies in cases of violations of the right to education.</w:t>
            </w:r>
          </w:p>
          <w:p w:rsidR="00A71B19" w:rsidRPr="00A71B19" w:rsidRDefault="00A71B19" w:rsidP="00367AB8">
            <w:pPr>
              <w:spacing w:after="0"/>
              <w:rPr>
                <w:rFonts w:eastAsia="Times New Roman" w:cs="Times New Roman"/>
                <w:bCs/>
                <w:color w:val="000000"/>
                <w:lang w:eastAsia="de-DE"/>
              </w:rPr>
            </w:pPr>
          </w:p>
          <w:p w:rsidR="00A71B19" w:rsidRPr="00A71B19" w:rsidRDefault="00A71B19" w:rsidP="00367AB8">
            <w:pPr>
              <w:spacing w:after="0"/>
              <w:rPr>
                <w:rFonts w:eastAsia="Times New Roman" w:cs="Times New Roman"/>
                <w:bCs/>
                <w:color w:val="000000"/>
                <w:lang w:eastAsia="de-DE"/>
              </w:rPr>
            </w:pPr>
          </w:p>
          <w:p w:rsidR="00A71B19" w:rsidRPr="00A71B19" w:rsidRDefault="00A71B19" w:rsidP="00367AB8">
            <w:pPr>
              <w:spacing w:after="0"/>
              <w:rPr>
                <w:rFonts w:eastAsia="Times New Roman" w:cs="Times New Roman"/>
                <w:bCs/>
                <w:color w:val="000000"/>
                <w:lang w:eastAsia="de-DE"/>
              </w:rPr>
            </w:pPr>
          </w:p>
          <w:p w:rsidR="00A71B19" w:rsidRPr="00A71B19" w:rsidRDefault="00A71B19" w:rsidP="00367AB8">
            <w:pPr>
              <w:spacing w:after="0"/>
              <w:rPr>
                <w:rFonts w:eastAsia="Times New Roman" w:cs="Times New Roman"/>
                <w:b/>
                <w:bCs/>
                <w:color w:val="000000"/>
                <w:lang w:eastAsia="de-DE"/>
              </w:rPr>
            </w:pPr>
            <w:r w:rsidRPr="00A71B19">
              <w:rPr>
                <w:rFonts w:eastAsia="Times New Roman" w:cs="Times New Roman"/>
                <w:b/>
                <w:bCs/>
                <w:color w:val="000000"/>
                <w:lang w:eastAsia="de-DE"/>
              </w:rPr>
              <w:t>General Comment no.4, Introduction, para.7</w:t>
            </w:r>
          </w:p>
          <w:p w:rsidR="00A71B19" w:rsidRPr="00A71B19" w:rsidRDefault="00A71B19" w:rsidP="00367AB8">
            <w:pPr>
              <w:spacing w:after="0"/>
              <w:rPr>
                <w:rFonts w:eastAsia="Times New Roman" w:cs="Times New Roman"/>
                <w:bCs/>
                <w:color w:val="000000"/>
                <w:lang w:eastAsia="de-DE"/>
              </w:rPr>
            </w:pPr>
            <w:r w:rsidRPr="00A71B19">
              <w:t>States parties must consult with and actively involve persons with disabilities, including children with disabilities, through their representative organizations, in all aspects of planning, implementation, monitoring and evaluation of inclusive education policies.</w:t>
            </w:r>
          </w:p>
        </w:tc>
        <w:tc>
          <w:tcPr>
            <w:tcW w:w="4587" w:type="dxa"/>
          </w:tcPr>
          <w:p w:rsidR="00A71B19" w:rsidRPr="00A71B19" w:rsidRDefault="00A71B19" w:rsidP="00A71B19">
            <w:pPr>
              <w:pStyle w:val="ListParagraph"/>
              <w:numPr>
                <w:ilvl w:val="0"/>
                <w:numId w:val="6"/>
              </w:numPr>
              <w:jc w:val="both"/>
              <w:rPr>
                <w:rFonts w:ascii="Calibri" w:eastAsia="Times New Roman" w:hAnsi="Calibri" w:cs="Times New Roman"/>
                <w:b/>
                <w:bCs/>
                <w:color w:val="000000"/>
                <w:lang w:val="en-US" w:eastAsia="de-DE"/>
              </w:rPr>
            </w:pPr>
            <w:r w:rsidRPr="00A71B19">
              <w:rPr>
                <w:rFonts w:ascii="Calibri" w:eastAsia="Times New Roman" w:hAnsi="Calibri" w:cs="Times New Roman"/>
                <w:b/>
                <w:bCs/>
                <w:color w:val="000000"/>
                <w:lang w:val="en-US" w:eastAsia="de-DE"/>
              </w:rPr>
              <w:lastRenderedPageBreak/>
              <w:t>External monitoring</w:t>
            </w:r>
          </w:p>
          <w:p w:rsidR="00A71B19" w:rsidRPr="00A71B19" w:rsidRDefault="00A71B19" w:rsidP="00367AB8">
            <w:pPr>
              <w:spacing w:after="0"/>
              <w:ind w:left="720"/>
              <w:jc w:val="both"/>
              <w:rPr>
                <w:rFonts w:ascii="Calibri" w:eastAsia="Times New Roman" w:hAnsi="Calibri" w:cs="Times New Roman"/>
                <w:b/>
                <w:bCs/>
                <w:color w:val="000000"/>
                <w:lang w:val="en-US" w:eastAsia="de-DE"/>
              </w:rPr>
            </w:pPr>
            <w:r w:rsidRPr="00A71B19">
              <w:rPr>
                <w:rFonts w:ascii="Calibri" w:eastAsia="Times New Roman" w:hAnsi="Calibri" w:cs="Times New Roman"/>
                <w:bCs/>
                <w:color w:val="000000"/>
                <w:lang w:val="en-US" w:eastAsia="de-DE"/>
              </w:rPr>
              <w:t>Independent monitoring boards (e.g. a local arbitration committee) should be in place with a remit to investigate concerns that the right of an individual pupil to fully participate in school life is threatened or breached.  Such boards should be local and education-specific, with the power to mediate between conflicting positions.  Parents, teachers, assistants and pupils can appeal to these boards for help. The members of such boards should represent the relevant stakeholders of inclusive educational systems (parents, teachers, assistants, persons with disabilities etc.)</w:t>
            </w:r>
          </w:p>
          <w:p w:rsidR="00A71B19" w:rsidRPr="00A71B19" w:rsidRDefault="00A71B19" w:rsidP="00A71B19">
            <w:pPr>
              <w:pStyle w:val="ListParagraph"/>
              <w:numPr>
                <w:ilvl w:val="0"/>
                <w:numId w:val="6"/>
              </w:numPr>
              <w:jc w:val="both"/>
              <w:rPr>
                <w:rFonts w:ascii="Calibri" w:eastAsia="Times New Roman" w:hAnsi="Calibri" w:cs="Times New Roman"/>
                <w:b/>
                <w:bCs/>
                <w:color w:val="000000"/>
                <w:lang w:val="en-US" w:eastAsia="de-DE"/>
              </w:rPr>
            </w:pPr>
            <w:r w:rsidRPr="00A71B19">
              <w:rPr>
                <w:rFonts w:ascii="Calibri" w:eastAsia="Times New Roman" w:hAnsi="Calibri" w:cs="Times New Roman"/>
                <w:b/>
                <w:bCs/>
                <w:color w:val="000000"/>
                <w:lang w:val="en-US" w:eastAsia="de-DE"/>
              </w:rPr>
              <w:t>Who is the employer?</w:t>
            </w:r>
          </w:p>
          <w:p w:rsidR="00A71B19" w:rsidRPr="00A71B19" w:rsidRDefault="00A71B19" w:rsidP="00367AB8">
            <w:pPr>
              <w:spacing w:after="0"/>
              <w:ind w:left="720"/>
              <w:jc w:val="both"/>
              <w:rPr>
                <w:rFonts w:ascii="Calibri" w:eastAsia="Times New Roman" w:hAnsi="Calibri" w:cs="Times New Roman"/>
                <w:bCs/>
                <w:lang w:val="en-US" w:eastAsia="de-DE"/>
              </w:rPr>
            </w:pPr>
            <w:r w:rsidRPr="00A71B19">
              <w:rPr>
                <w:rFonts w:ascii="Calibri" w:eastAsia="Times New Roman" w:hAnsi="Calibri" w:cs="Times New Roman"/>
                <w:bCs/>
                <w:color w:val="000000"/>
                <w:lang w:val="en-US" w:eastAsia="de-DE"/>
              </w:rPr>
              <w:t xml:space="preserve">Consideration should be given on </w:t>
            </w:r>
            <w:r w:rsidRPr="00A71B19">
              <w:rPr>
                <w:rFonts w:ascii="Calibri" w:eastAsia="Times New Roman" w:hAnsi="Calibri" w:cs="Times New Roman"/>
                <w:bCs/>
                <w:color w:val="000000"/>
                <w:lang w:val="en-US" w:eastAsia="de-DE"/>
              </w:rPr>
              <w:lastRenderedPageBreak/>
              <w:t xml:space="preserve">whether assistants are appointed directly by the school or by an external agency.  Benefits of assistants being appointed by an organization outside of school (e.g. employed by a social service provider or the municipality) include: maintaining the independence of the service and allowing assistants to advocate for every pupil’s right to participate in every aspect of school life.  In this case, </w:t>
            </w:r>
            <w:r w:rsidRPr="00A71B19">
              <w:rPr>
                <w:rFonts w:ascii="Calibri" w:eastAsia="Times New Roman" w:hAnsi="Calibri" w:cs="Times New Roman"/>
                <w:bCs/>
                <w:lang w:val="en-US" w:eastAsia="de-DE"/>
              </w:rPr>
              <w:t>a clarification of responsibilities between the employer (e.g. social service provider) and school is needed.  The alternative, of assistants being employed directly by the school, may bring the benefit of a stronger and more cohesive staff community.</w:t>
            </w:r>
          </w:p>
          <w:p w:rsidR="00A71B19" w:rsidRPr="00A71B19" w:rsidRDefault="00A71B19" w:rsidP="00367AB8">
            <w:pPr>
              <w:spacing w:after="0"/>
              <w:ind w:left="720"/>
              <w:jc w:val="both"/>
              <w:rPr>
                <w:rFonts w:ascii="Calibri" w:eastAsia="Times New Roman" w:hAnsi="Calibri" w:cs="Times New Roman"/>
                <w:bCs/>
                <w:lang w:val="en-US" w:eastAsia="de-DE"/>
              </w:rPr>
            </w:pPr>
          </w:p>
          <w:p w:rsidR="00A71B19" w:rsidRPr="00A71B19" w:rsidRDefault="00A71B19" w:rsidP="00A71B19">
            <w:pPr>
              <w:pStyle w:val="ListParagraph"/>
              <w:numPr>
                <w:ilvl w:val="0"/>
                <w:numId w:val="6"/>
              </w:numPr>
              <w:jc w:val="both"/>
              <w:rPr>
                <w:rFonts w:ascii="Calibri" w:eastAsia="Times New Roman" w:hAnsi="Calibri" w:cs="Times New Roman"/>
                <w:b/>
                <w:bCs/>
                <w:lang w:val="en-US" w:eastAsia="de-DE"/>
              </w:rPr>
            </w:pPr>
            <w:r w:rsidRPr="00A71B19">
              <w:rPr>
                <w:rFonts w:ascii="Calibri" w:eastAsia="Times New Roman" w:hAnsi="Calibri" w:cs="Times New Roman"/>
                <w:b/>
                <w:bCs/>
                <w:color w:val="000000"/>
                <w:lang w:val="en-US" w:eastAsia="de-DE"/>
              </w:rPr>
              <w:t>Recruitment</w:t>
            </w:r>
          </w:p>
          <w:p w:rsidR="00A71B19" w:rsidRPr="00A71B19" w:rsidRDefault="00A71B19" w:rsidP="00367AB8">
            <w:pPr>
              <w:spacing w:after="0"/>
              <w:ind w:left="720"/>
              <w:jc w:val="both"/>
              <w:rPr>
                <w:rFonts w:ascii="Calibri" w:eastAsia="Times New Roman" w:hAnsi="Calibri" w:cs="Times New Roman"/>
                <w:bCs/>
                <w:lang w:val="en-US" w:eastAsia="de-DE"/>
              </w:rPr>
            </w:pPr>
            <w:r w:rsidRPr="00A71B19">
              <w:rPr>
                <w:rFonts w:ascii="Calibri" w:eastAsia="Times New Roman" w:hAnsi="Calibri" w:cs="Times New Roman"/>
                <w:bCs/>
                <w:color w:val="000000"/>
                <w:lang w:val="en-US" w:eastAsia="de-DE"/>
              </w:rPr>
              <w:t>Because of the close and often intimate relationship between assistants and pupils, parents and pupils should be involved in the process of recruiting assistants.</w:t>
            </w:r>
          </w:p>
        </w:tc>
        <w:tc>
          <w:tcPr>
            <w:tcW w:w="4230" w:type="dxa"/>
            <w:shd w:val="clear" w:color="auto" w:fill="auto"/>
          </w:tcPr>
          <w:p w:rsidR="005C5093" w:rsidRDefault="005C5093" w:rsidP="00D67858">
            <w:pPr>
              <w:spacing w:after="0"/>
              <w:ind w:left="720"/>
              <w:jc w:val="both"/>
              <w:rPr>
                <w:rFonts w:ascii="Calibri" w:eastAsia="Times New Roman" w:hAnsi="Calibri" w:cs="Times New Roman"/>
                <w:bCs/>
                <w:color w:val="000000"/>
                <w:lang w:val="en-US" w:eastAsia="de-DE"/>
              </w:rPr>
            </w:pPr>
          </w:p>
          <w:p w:rsidR="00A71B19" w:rsidRPr="00A71B19" w:rsidRDefault="00363378" w:rsidP="009C2B73">
            <w:pPr>
              <w:spacing w:after="0"/>
              <w:jc w:val="both"/>
              <w:rPr>
                <w:rFonts w:ascii="Calibri" w:eastAsia="Times New Roman" w:hAnsi="Calibri" w:cs="Times New Roman"/>
                <w:bCs/>
                <w:lang w:val="en-US" w:eastAsia="de-DE"/>
              </w:rPr>
            </w:pPr>
            <w:r w:rsidRPr="00363378">
              <w:rPr>
                <w:rFonts w:ascii="Calibri" w:eastAsia="Times New Roman" w:hAnsi="Calibri" w:cs="Times New Roman"/>
                <w:bCs/>
                <w:lang w:eastAsia="de-DE"/>
              </w:rPr>
              <w:t xml:space="preserve">The Special Educational Needs and Disability </w:t>
            </w:r>
            <w:r>
              <w:rPr>
                <w:rFonts w:ascii="Calibri" w:eastAsia="Times New Roman" w:hAnsi="Calibri" w:cs="Times New Roman"/>
                <w:bCs/>
                <w:lang w:eastAsia="de-DE"/>
              </w:rPr>
              <w:t xml:space="preserve">(SEND) </w:t>
            </w:r>
            <w:r w:rsidRPr="00363378">
              <w:rPr>
                <w:rFonts w:ascii="Calibri" w:eastAsia="Times New Roman" w:hAnsi="Calibri" w:cs="Times New Roman"/>
                <w:bCs/>
                <w:lang w:eastAsia="de-DE"/>
              </w:rPr>
              <w:t>Tribunal</w:t>
            </w:r>
            <w:r>
              <w:rPr>
                <w:rFonts w:ascii="Calibri" w:eastAsia="Times New Roman" w:hAnsi="Calibri" w:cs="Times New Roman"/>
                <w:bCs/>
                <w:lang w:eastAsia="de-DE"/>
              </w:rPr>
              <w:t xml:space="preserve"> fulfils some of these functions, although </w:t>
            </w:r>
            <w:r w:rsidR="000B5EB8">
              <w:rPr>
                <w:rFonts w:ascii="Calibri" w:eastAsia="Times New Roman" w:hAnsi="Calibri" w:cs="Times New Roman"/>
                <w:bCs/>
                <w:lang w:eastAsia="de-DE"/>
              </w:rPr>
              <w:t>shorter</w:t>
            </w:r>
            <w:r>
              <w:rPr>
                <w:rFonts w:ascii="Calibri" w:eastAsia="Times New Roman" w:hAnsi="Calibri" w:cs="Times New Roman"/>
                <w:bCs/>
                <w:lang w:eastAsia="de-DE"/>
              </w:rPr>
              <w:t xml:space="preserve"> timeframes around disability discrimination claims </w:t>
            </w:r>
            <w:r w:rsidR="000B5EB8">
              <w:rPr>
                <w:rFonts w:ascii="Calibri" w:eastAsia="Times New Roman" w:hAnsi="Calibri" w:cs="Times New Roman"/>
                <w:bCs/>
                <w:lang w:eastAsia="de-DE"/>
              </w:rPr>
              <w:t>would be preferable</w:t>
            </w:r>
            <w:r>
              <w:rPr>
                <w:rFonts w:ascii="Calibri" w:eastAsia="Times New Roman" w:hAnsi="Calibri" w:cs="Times New Roman"/>
                <w:bCs/>
                <w:lang w:eastAsia="de-DE"/>
              </w:rPr>
              <w:t>.</w:t>
            </w:r>
          </w:p>
          <w:p w:rsidR="00A71B19" w:rsidRDefault="00A71B19" w:rsidP="0082711C">
            <w:pPr>
              <w:spacing w:after="0"/>
              <w:ind w:left="720"/>
              <w:jc w:val="both"/>
              <w:rPr>
                <w:rFonts w:ascii="Calibri" w:eastAsia="Times New Roman" w:hAnsi="Calibri" w:cs="Times New Roman"/>
                <w:bCs/>
                <w:lang w:val="en-US" w:eastAsia="de-DE"/>
              </w:rPr>
            </w:pPr>
          </w:p>
          <w:p w:rsidR="005C5093" w:rsidRDefault="005C5093" w:rsidP="0082711C">
            <w:pPr>
              <w:spacing w:after="0"/>
              <w:ind w:left="720"/>
              <w:jc w:val="both"/>
              <w:rPr>
                <w:rFonts w:ascii="Calibri" w:eastAsia="Times New Roman" w:hAnsi="Calibri" w:cs="Times New Roman"/>
                <w:bCs/>
                <w:lang w:val="en-US" w:eastAsia="de-DE"/>
              </w:rPr>
            </w:pPr>
          </w:p>
          <w:p w:rsidR="005C5093" w:rsidRDefault="005C5093" w:rsidP="0082711C">
            <w:pPr>
              <w:spacing w:after="0"/>
              <w:ind w:left="720"/>
              <w:jc w:val="both"/>
              <w:rPr>
                <w:rFonts w:ascii="Calibri" w:eastAsia="Times New Roman" w:hAnsi="Calibri" w:cs="Times New Roman"/>
                <w:bCs/>
                <w:lang w:val="en-US" w:eastAsia="de-DE"/>
              </w:rPr>
            </w:pPr>
          </w:p>
          <w:p w:rsidR="005C5093" w:rsidRDefault="005C5093" w:rsidP="0082711C">
            <w:pPr>
              <w:spacing w:after="0"/>
              <w:ind w:left="720"/>
              <w:jc w:val="both"/>
              <w:rPr>
                <w:rFonts w:ascii="Calibri" w:eastAsia="Times New Roman" w:hAnsi="Calibri" w:cs="Times New Roman"/>
                <w:bCs/>
                <w:lang w:val="en-US" w:eastAsia="de-DE"/>
              </w:rPr>
            </w:pPr>
          </w:p>
          <w:p w:rsidR="005C5093" w:rsidRDefault="005C5093" w:rsidP="0082711C">
            <w:pPr>
              <w:spacing w:after="0"/>
              <w:ind w:left="720"/>
              <w:jc w:val="both"/>
              <w:rPr>
                <w:rFonts w:ascii="Calibri" w:eastAsia="Times New Roman" w:hAnsi="Calibri" w:cs="Times New Roman"/>
                <w:bCs/>
                <w:lang w:val="en-US" w:eastAsia="de-DE"/>
              </w:rPr>
            </w:pPr>
          </w:p>
          <w:p w:rsidR="005C5093" w:rsidRDefault="005C5093" w:rsidP="0082711C">
            <w:pPr>
              <w:spacing w:after="0"/>
              <w:ind w:left="720"/>
              <w:jc w:val="both"/>
              <w:rPr>
                <w:rFonts w:ascii="Calibri" w:eastAsia="Times New Roman" w:hAnsi="Calibri" w:cs="Times New Roman"/>
                <w:bCs/>
                <w:lang w:val="en-US" w:eastAsia="de-DE"/>
              </w:rPr>
            </w:pPr>
          </w:p>
          <w:p w:rsidR="005C5093" w:rsidRDefault="005C5093" w:rsidP="0082711C">
            <w:pPr>
              <w:spacing w:after="0"/>
              <w:ind w:left="720"/>
              <w:jc w:val="both"/>
              <w:rPr>
                <w:rFonts w:ascii="Calibri" w:eastAsia="Times New Roman" w:hAnsi="Calibri" w:cs="Times New Roman"/>
                <w:bCs/>
                <w:lang w:val="en-US" w:eastAsia="de-DE"/>
              </w:rPr>
            </w:pPr>
          </w:p>
          <w:p w:rsidR="005C5093" w:rsidRDefault="005C5093" w:rsidP="0082711C">
            <w:pPr>
              <w:spacing w:after="0"/>
              <w:ind w:left="720"/>
              <w:jc w:val="both"/>
              <w:rPr>
                <w:rFonts w:ascii="Calibri" w:eastAsia="Times New Roman" w:hAnsi="Calibri" w:cs="Times New Roman"/>
                <w:bCs/>
                <w:lang w:val="en-US" w:eastAsia="de-DE"/>
              </w:rPr>
            </w:pPr>
          </w:p>
          <w:p w:rsidR="005C5093" w:rsidRDefault="005C5093" w:rsidP="0082711C">
            <w:pPr>
              <w:spacing w:after="0"/>
              <w:ind w:left="720"/>
              <w:jc w:val="both"/>
              <w:rPr>
                <w:rFonts w:ascii="Calibri" w:eastAsia="Times New Roman" w:hAnsi="Calibri" w:cs="Times New Roman"/>
                <w:bCs/>
                <w:lang w:val="en-US" w:eastAsia="de-DE"/>
              </w:rPr>
            </w:pPr>
          </w:p>
          <w:p w:rsidR="009C2B73" w:rsidRDefault="009C2B73" w:rsidP="0082711C">
            <w:pPr>
              <w:spacing w:after="0"/>
              <w:ind w:left="720"/>
              <w:jc w:val="both"/>
              <w:rPr>
                <w:rFonts w:ascii="Calibri" w:eastAsia="Times New Roman" w:hAnsi="Calibri" w:cs="Times New Roman"/>
                <w:bCs/>
                <w:lang w:val="en-US" w:eastAsia="de-DE"/>
              </w:rPr>
            </w:pPr>
          </w:p>
          <w:p w:rsidR="005C5093" w:rsidRDefault="005C5093" w:rsidP="0082711C">
            <w:pPr>
              <w:spacing w:after="0"/>
              <w:ind w:left="720"/>
              <w:jc w:val="both"/>
              <w:rPr>
                <w:rFonts w:ascii="Calibri" w:eastAsia="Times New Roman" w:hAnsi="Calibri" w:cs="Times New Roman"/>
                <w:bCs/>
                <w:lang w:val="en-US" w:eastAsia="de-DE"/>
              </w:rPr>
            </w:pPr>
          </w:p>
          <w:p w:rsidR="005C5093" w:rsidRDefault="00215114" w:rsidP="007E7238">
            <w:pPr>
              <w:spacing w:after="0"/>
              <w:jc w:val="both"/>
              <w:rPr>
                <w:rFonts w:ascii="Calibri" w:eastAsia="Times New Roman" w:hAnsi="Calibri" w:cs="Times New Roman"/>
                <w:bCs/>
                <w:lang w:val="en-US" w:eastAsia="de-DE"/>
              </w:rPr>
            </w:pPr>
            <w:r>
              <w:rPr>
                <w:rFonts w:ascii="Calibri" w:eastAsia="Times New Roman" w:hAnsi="Calibri" w:cs="Times New Roman"/>
                <w:bCs/>
                <w:lang w:val="en-US" w:eastAsia="de-DE"/>
              </w:rPr>
              <w:t xml:space="preserve">There is no evidence to suggest that a system </w:t>
            </w:r>
            <w:r>
              <w:rPr>
                <w:rFonts w:ascii="Calibri" w:eastAsia="Times New Roman" w:hAnsi="Calibri" w:cs="Times New Roman"/>
                <w:bCs/>
                <w:lang w:val="en-US" w:eastAsia="de-DE"/>
              </w:rPr>
              <w:lastRenderedPageBreak/>
              <w:t>where assistants are employed by an organisation other than the school would have better outcomes in the UK, but there is no evidence to the contrary either and it may be of benefit to explore this suggestion.  There could be merit in a half-way point, where schools appoint some assistants and can also draw from a pool of others employed by the local authority or other organisation.</w:t>
            </w:r>
          </w:p>
          <w:p w:rsidR="005C5093" w:rsidRDefault="005C5093" w:rsidP="0082711C">
            <w:pPr>
              <w:spacing w:after="0"/>
              <w:ind w:left="720"/>
              <w:jc w:val="both"/>
              <w:rPr>
                <w:rFonts w:ascii="Calibri" w:eastAsia="Times New Roman" w:hAnsi="Calibri" w:cs="Times New Roman"/>
                <w:bCs/>
                <w:lang w:val="en-US" w:eastAsia="de-DE"/>
              </w:rPr>
            </w:pPr>
          </w:p>
          <w:p w:rsidR="005C5093" w:rsidRDefault="005C5093" w:rsidP="0082711C">
            <w:pPr>
              <w:spacing w:after="0"/>
              <w:ind w:left="720"/>
              <w:jc w:val="both"/>
              <w:rPr>
                <w:rFonts w:ascii="Calibri" w:eastAsia="Times New Roman" w:hAnsi="Calibri" w:cs="Times New Roman"/>
                <w:bCs/>
                <w:lang w:val="en-US" w:eastAsia="de-DE"/>
              </w:rPr>
            </w:pPr>
          </w:p>
          <w:p w:rsidR="005C5093" w:rsidRDefault="005C5093" w:rsidP="0082711C">
            <w:pPr>
              <w:spacing w:after="0"/>
              <w:ind w:left="720"/>
              <w:jc w:val="both"/>
              <w:rPr>
                <w:rFonts w:ascii="Calibri" w:eastAsia="Times New Roman" w:hAnsi="Calibri" w:cs="Times New Roman"/>
                <w:bCs/>
                <w:lang w:val="en-US" w:eastAsia="de-DE"/>
              </w:rPr>
            </w:pPr>
          </w:p>
          <w:p w:rsidR="005C5093" w:rsidRDefault="005C5093" w:rsidP="0082711C">
            <w:pPr>
              <w:spacing w:after="0"/>
              <w:ind w:left="720"/>
              <w:jc w:val="both"/>
              <w:rPr>
                <w:rFonts w:ascii="Calibri" w:eastAsia="Times New Roman" w:hAnsi="Calibri" w:cs="Times New Roman"/>
                <w:bCs/>
                <w:lang w:val="en-US" w:eastAsia="de-DE"/>
              </w:rPr>
            </w:pPr>
          </w:p>
          <w:p w:rsidR="005C5093" w:rsidRDefault="005C5093" w:rsidP="0082711C">
            <w:pPr>
              <w:spacing w:after="0"/>
              <w:ind w:left="720"/>
              <w:jc w:val="both"/>
              <w:rPr>
                <w:rFonts w:ascii="Calibri" w:eastAsia="Times New Roman" w:hAnsi="Calibri" w:cs="Times New Roman"/>
                <w:bCs/>
                <w:lang w:val="en-US" w:eastAsia="de-DE"/>
              </w:rPr>
            </w:pPr>
          </w:p>
          <w:p w:rsidR="005C5093" w:rsidRDefault="005C5093" w:rsidP="0082711C">
            <w:pPr>
              <w:spacing w:after="0"/>
              <w:ind w:left="720"/>
              <w:jc w:val="both"/>
              <w:rPr>
                <w:rFonts w:ascii="Calibri" w:eastAsia="Times New Roman" w:hAnsi="Calibri" w:cs="Times New Roman"/>
                <w:bCs/>
                <w:lang w:val="en-US" w:eastAsia="de-DE"/>
              </w:rPr>
            </w:pPr>
          </w:p>
          <w:p w:rsidR="005C5093" w:rsidRDefault="005C5093" w:rsidP="0082711C">
            <w:pPr>
              <w:spacing w:after="0"/>
              <w:ind w:left="720"/>
              <w:jc w:val="both"/>
              <w:rPr>
                <w:rFonts w:ascii="Calibri" w:eastAsia="Times New Roman" w:hAnsi="Calibri" w:cs="Times New Roman"/>
                <w:bCs/>
                <w:lang w:val="en-US" w:eastAsia="de-DE"/>
              </w:rPr>
            </w:pPr>
          </w:p>
          <w:p w:rsidR="005C5093" w:rsidRDefault="005C5093" w:rsidP="0082711C">
            <w:pPr>
              <w:spacing w:after="0"/>
              <w:ind w:left="720"/>
              <w:jc w:val="both"/>
              <w:rPr>
                <w:rFonts w:ascii="Calibri" w:eastAsia="Times New Roman" w:hAnsi="Calibri" w:cs="Times New Roman"/>
                <w:bCs/>
                <w:lang w:val="en-US" w:eastAsia="de-DE"/>
              </w:rPr>
            </w:pPr>
          </w:p>
          <w:p w:rsidR="005C5093" w:rsidRDefault="005C5093" w:rsidP="0082711C">
            <w:pPr>
              <w:spacing w:after="0"/>
              <w:ind w:left="720"/>
              <w:jc w:val="both"/>
              <w:rPr>
                <w:rFonts w:ascii="Calibri" w:eastAsia="Times New Roman" w:hAnsi="Calibri" w:cs="Times New Roman"/>
                <w:bCs/>
                <w:lang w:val="en-US" w:eastAsia="de-DE"/>
              </w:rPr>
            </w:pPr>
          </w:p>
          <w:p w:rsidR="005C5093" w:rsidRDefault="005C5093" w:rsidP="0082711C">
            <w:pPr>
              <w:spacing w:after="0"/>
              <w:ind w:left="720"/>
              <w:jc w:val="both"/>
              <w:rPr>
                <w:rFonts w:ascii="Calibri" w:eastAsia="Times New Roman" w:hAnsi="Calibri" w:cs="Times New Roman"/>
                <w:bCs/>
                <w:lang w:val="en-US" w:eastAsia="de-DE"/>
              </w:rPr>
            </w:pPr>
          </w:p>
          <w:p w:rsidR="005C5093" w:rsidRDefault="005C5093" w:rsidP="0082711C">
            <w:pPr>
              <w:spacing w:after="0"/>
              <w:ind w:left="720"/>
              <w:jc w:val="both"/>
              <w:rPr>
                <w:rFonts w:ascii="Calibri" w:eastAsia="Times New Roman" w:hAnsi="Calibri" w:cs="Times New Roman"/>
                <w:bCs/>
                <w:lang w:val="en-US" w:eastAsia="de-DE"/>
              </w:rPr>
            </w:pPr>
          </w:p>
          <w:p w:rsidR="005C5093" w:rsidRPr="00A71B19" w:rsidRDefault="005C5093" w:rsidP="0082711C">
            <w:pPr>
              <w:spacing w:after="0"/>
              <w:ind w:left="720"/>
              <w:jc w:val="both"/>
              <w:rPr>
                <w:rFonts w:ascii="Calibri" w:eastAsia="Times New Roman" w:hAnsi="Calibri" w:cs="Times New Roman"/>
                <w:bCs/>
                <w:lang w:val="en-US" w:eastAsia="de-DE"/>
              </w:rPr>
            </w:pPr>
          </w:p>
        </w:tc>
      </w:tr>
      <w:tr w:rsidR="00A71B19" w:rsidRPr="00A71B19" w:rsidTr="00FE6795">
        <w:trPr>
          <w:trHeight w:val="284"/>
        </w:trPr>
        <w:tc>
          <w:tcPr>
            <w:tcW w:w="1710" w:type="dxa"/>
            <w:shd w:val="clear" w:color="auto" w:fill="D9D9D9" w:themeFill="background1" w:themeFillShade="D9"/>
            <w:hideMark/>
          </w:tcPr>
          <w:p w:rsidR="00A71B19" w:rsidRPr="00A71B19" w:rsidRDefault="00A71B19" w:rsidP="00D67858">
            <w:pPr>
              <w:spacing w:after="0"/>
              <w:rPr>
                <w:rFonts w:eastAsia="Times New Roman" w:cs="Times New Roman"/>
                <w:b/>
                <w:bCs/>
                <w:color w:val="000000"/>
                <w:lang w:eastAsia="de-DE"/>
              </w:rPr>
            </w:pPr>
            <w:r w:rsidRPr="00A71B19">
              <w:rPr>
                <w:rFonts w:eastAsia="Times New Roman" w:cs="Times New Roman"/>
                <w:b/>
                <w:bCs/>
                <w:color w:val="000000"/>
                <w:lang w:eastAsia="de-DE"/>
              </w:rPr>
              <w:lastRenderedPageBreak/>
              <w:t>Cooperation of the assistant with other staff</w:t>
            </w:r>
          </w:p>
        </w:tc>
        <w:tc>
          <w:tcPr>
            <w:tcW w:w="3603" w:type="dxa"/>
            <w:shd w:val="clear" w:color="auto" w:fill="F2F2F2" w:themeFill="background1" w:themeFillShade="F2"/>
          </w:tcPr>
          <w:p w:rsidR="00A71B19" w:rsidRPr="00A71B19" w:rsidRDefault="00A71B19" w:rsidP="00367AB8">
            <w:pPr>
              <w:spacing w:after="0"/>
              <w:rPr>
                <w:rFonts w:eastAsia="Times New Roman" w:cs="Times New Roman"/>
                <w:b/>
                <w:bCs/>
                <w:color w:val="000000"/>
                <w:lang w:eastAsia="de-DE"/>
              </w:rPr>
            </w:pPr>
          </w:p>
        </w:tc>
        <w:tc>
          <w:tcPr>
            <w:tcW w:w="4587" w:type="dxa"/>
          </w:tcPr>
          <w:p w:rsidR="00A71B19" w:rsidRPr="00A71B19" w:rsidRDefault="00A71B19" w:rsidP="00A71B19">
            <w:pPr>
              <w:pStyle w:val="ListParagraph"/>
              <w:numPr>
                <w:ilvl w:val="0"/>
                <w:numId w:val="6"/>
              </w:numPr>
              <w:jc w:val="both"/>
              <w:rPr>
                <w:rFonts w:ascii="Calibri" w:eastAsia="Times New Roman" w:hAnsi="Calibri" w:cs="Times New Roman"/>
                <w:b/>
                <w:bCs/>
                <w:lang w:val="en-US" w:eastAsia="de-DE"/>
              </w:rPr>
            </w:pPr>
            <w:r w:rsidRPr="00A71B19">
              <w:rPr>
                <w:rFonts w:ascii="Calibri" w:eastAsia="Times New Roman" w:hAnsi="Calibri" w:cs="Times New Roman"/>
                <w:b/>
                <w:bCs/>
                <w:lang w:val="en-US" w:eastAsia="de-DE"/>
              </w:rPr>
              <w:t>Full participation</w:t>
            </w:r>
          </w:p>
          <w:p w:rsidR="00A71B19" w:rsidRPr="00A71B19" w:rsidRDefault="00A71B19" w:rsidP="00367AB8">
            <w:pPr>
              <w:spacing w:after="0"/>
              <w:ind w:left="720"/>
              <w:jc w:val="both"/>
              <w:rPr>
                <w:rFonts w:ascii="Calibri" w:eastAsia="Times New Roman" w:hAnsi="Calibri" w:cs="Times New Roman"/>
                <w:bCs/>
                <w:lang w:val="en-US" w:eastAsia="de-DE"/>
              </w:rPr>
            </w:pPr>
            <w:r w:rsidRPr="00A71B19">
              <w:rPr>
                <w:rFonts w:ascii="Calibri" w:eastAsia="Times New Roman" w:hAnsi="Calibri" w:cs="Times New Roman"/>
                <w:bCs/>
                <w:color w:val="000000"/>
                <w:lang w:val="en-US" w:eastAsia="de-DE"/>
              </w:rPr>
              <w:t>Assistants should be seen by everyone as an integral part of the school community.  They should be included in all school activities and all relevant communication processes between pupils, parents, teachers, external and internal supporters etc</w:t>
            </w:r>
            <w:r w:rsidRPr="00A71B19">
              <w:rPr>
                <w:rFonts w:ascii="Calibri" w:eastAsia="Times New Roman" w:hAnsi="Calibri" w:cs="Times New Roman"/>
                <w:bCs/>
                <w:lang w:val="en-US" w:eastAsia="de-DE"/>
              </w:rPr>
              <w:t xml:space="preserve">. </w:t>
            </w:r>
          </w:p>
          <w:p w:rsidR="00A71B19" w:rsidRPr="00A71B19" w:rsidRDefault="00A71B19" w:rsidP="00367AB8">
            <w:pPr>
              <w:spacing w:after="0"/>
              <w:ind w:left="720"/>
              <w:jc w:val="both"/>
              <w:rPr>
                <w:rFonts w:ascii="Calibri" w:eastAsia="Times New Roman" w:hAnsi="Calibri" w:cs="Times New Roman"/>
                <w:bCs/>
                <w:color w:val="000000"/>
                <w:lang w:val="en-US" w:eastAsia="de-DE"/>
              </w:rPr>
            </w:pPr>
            <w:r w:rsidRPr="00A71B19">
              <w:rPr>
                <w:rFonts w:ascii="Calibri" w:eastAsia="Times New Roman" w:hAnsi="Calibri" w:cs="Times New Roman"/>
                <w:bCs/>
                <w:color w:val="000000"/>
                <w:lang w:val="en-US" w:eastAsia="de-DE"/>
              </w:rPr>
              <w:t>Assistants should be integrated in the class community; they should all work together as a team with one another, with teachers, pupils and their families. Everyone according to their role is equally important.</w:t>
            </w:r>
          </w:p>
          <w:p w:rsidR="00A71B19" w:rsidRPr="00A71B19" w:rsidRDefault="00A71B19" w:rsidP="00A71B19">
            <w:pPr>
              <w:pStyle w:val="ListParagraph"/>
              <w:numPr>
                <w:ilvl w:val="0"/>
                <w:numId w:val="6"/>
              </w:numPr>
              <w:jc w:val="both"/>
              <w:rPr>
                <w:rFonts w:ascii="Calibri" w:eastAsia="Times New Roman" w:hAnsi="Calibri" w:cs="Times New Roman"/>
                <w:b/>
                <w:bCs/>
                <w:color w:val="000000"/>
                <w:lang w:val="en-US" w:eastAsia="de-DE"/>
              </w:rPr>
            </w:pPr>
            <w:r w:rsidRPr="00A71B19">
              <w:rPr>
                <w:rFonts w:ascii="Calibri" w:eastAsia="Times New Roman" w:hAnsi="Calibri" w:cs="Times New Roman"/>
                <w:b/>
                <w:bCs/>
                <w:color w:val="000000"/>
                <w:lang w:val="en-US" w:eastAsia="de-DE"/>
              </w:rPr>
              <w:t>Position in school hierarchy</w:t>
            </w:r>
          </w:p>
          <w:p w:rsidR="00A71B19" w:rsidRPr="00A71B19" w:rsidRDefault="00A71B19" w:rsidP="00367AB8">
            <w:pPr>
              <w:spacing w:after="0"/>
              <w:ind w:left="720"/>
              <w:jc w:val="both"/>
            </w:pPr>
            <w:r w:rsidRPr="00A71B19">
              <w:rPr>
                <w:rFonts w:ascii="Calibri" w:eastAsia="Times New Roman" w:hAnsi="Calibri" w:cs="Times New Roman"/>
                <w:bCs/>
                <w:color w:val="000000"/>
                <w:lang w:val="en-US" w:eastAsia="de-DE"/>
              </w:rPr>
              <w:t>In cases where it is felt that upholding a pupil’s individual right to participate in every aspect of school life comes into conflict with the way teaching and learning are organized in the school, it is important that the pupil’s voice, and that of its allies and advocates, is heard.  That is why the position of assistants within the hierarchy of a school should allow them to help the school address this balance.  At the same time it is very important that the collaboration and cooperation of school teaching and non-</w:t>
            </w:r>
            <w:r w:rsidRPr="00A71B19">
              <w:rPr>
                <w:rFonts w:ascii="Calibri" w:eastAsia="Times New Roman" w:hAnsi="Calibri" w:cs="Times New Roman"/>
                <w:bCs/>
                <w:color w:val="000000"/>
                <w:lang w:val="en-US" w:eastAsia="de-DE"/>
              </w:rPr>
              <w:lastRenderedPageBreak/>
              <w:t xml:space="preserve">teaching staff (especially assistants of pupils with disabilities) is well established, regardless of the job contract or employment model of assistants.  </w:t>
            </w:r>
            <w:r w:rsidRPr="00A71B19">
              <w:t xml:space="preserve"> </w:t>
            </w:r>
          </w:p>
          <w:p w:rsidR="00A71B19" w:rsidRPr="00A71B19" w:rsidRDefault="00A71B19" w:rsidP="00367AB8">
            <w:pPr>
              <w:spacing w:after="0"/>
              <w:ind w:left="720"/>
              <w:jc w:val="both"/>
              <w:rPr>
                <w:rFonts w:ascii="Calibri" w:eastAsia="Times New Roman" w:hAnsi="Calibri" w:cs="Times New Roman"/>
                <w:bCs/>
                <w:lang w:val="en-US" w:eastAsia="de-DE"/>
              </w:rPr>
            </w:pPr>
            <w:r w:rsidRPr="00A71B19">
              <w:rPr>
                <w:rFonts w:ascii="Calibri" w:eastAsia="Times New Roman" w:hAnsi="Calibri" w:cs="Times New Roman"/>
                <w:bCs/>
                <w:color w:val="000000"/>
                <w:lang w:val="en-US" w:eastAsia="de-DE"/>
              </w:rPr>
              <w:t>Assistants should be part of the school community and should be involved in the decision making process for relevant issues of school life.</w:t>
            </w:r>
          </w:p>
        </w:tc>
        <w:tc>
          <w:tcPr>
            <w:tcW w:w="4230" w:type="dxa"/>
            <w:shd w:val="clear" w:color="auto" w:fill="auto"/>
          </w:tcPr>
          <w:p w:rsidR="00D77CE6" w:rsidRDefault="00D77CE6" w:rsidP="00D67858">
            <w:pPr>
              <w:spacing w:after="0"/>
              <w:ind w:left="720"/>
              <w:jc w:val="both"/>
              <w:rPr>
                <w:rFonts w:ascii="Calibri" w:eastAsia="Times New Roman" w:hAnsi="Calibri" w:cs="Times New Roman"/>
                <w:bCs/>
                <w:color w:val="000000"/>
                <w:lang w:val="en-US" w:eastAsia="de-DE"/>
              </w:rPr>
            </w:pPr>
          </w:p>
          <w:p w:rsidR="00D77CE6" w:rsidRDefault="00D77CE6" w:rsidP="00D67858">
            <w:pPr>
              <w:spacing w:after="0"/>
              <w:ind w:left="720"/>
              <w:jc w:val="both"/>
              <w:rPr>
                <w:rFonts w:ascii="Calibri" w:eastAsia="Times New Roman" w:hAnsi="Calibri" w:cs="Times New Roman"/>
                <w:bCs/>
                <w:color w:val="000000"/>
                <w:lang w:val="en-US" w:eastAsia="de-DE"/>
              </w:rPr>
            </w:pPr>
          </w:p>
          <w:p w:rsidR="00D77CE6" w:rsidRDefault="00D77CE6" w:rsidP="00D67858">
            <w:pPr>
              <w:spacing w:after="0"/>
              <w:ind w:left="720"/>
              <w:jc w:val="both"/>
              <w:rPr>
                <w:rFonts w:ascii="Calibri" w:eastAsia="Times New Roman" w:hAnsi="Calibri" w:cs="Times New Roman"/>
                <w:bCs/>
                <w:color w:val="000000"/>
                <w:lang w:val="en-US" w:eastAsia="de-DE"/>
              </w:rPr>
            </w:pPr>
          </w:p>
          <w:p w:rsidR="00D77CE6" w:rsidRDefault="00D77CE6" w:rsidP="00D67858">
            <w:pPr>
              <w:spacing w:after="0"/>
              <w:ind w:left="720"/>
              <w:jc w:val="both"/>
              <w:rPr>
                <w:rFonts w:ascii="Calibri" w:eastAsia="Times New Roman" w:hAnsi="Calibri" w:cs="Times New Roman"/>
                <w:bCs/>
                <w:color w:val="000000"/>
                <w:lang w:val="en-US" w:eastAsia="de-DE"/>
              </w:rPr>
            </w:pPr>
          </w:p>
          <w:p w:rsidR="00D77CE6" w:rsidRDefault="00D77CE6" w:rsidP="00D67858">
            <w:pPr>
              <w:spacing w:after="0"/>
              <w:ind w:left="720"/>
              <w:jc w:val="both"/>
              <w:rPr>
                <w:rFonts w:ascii="Calibri" w:eastAsia="Times New Roman" w:hAnsi="Calibri" w:cs="Times New Roman"/>
                <w:bCs/>
                <w:color w:val="000000"/>
                <w:lang w:val="en-US" w:eastAsia="de-DE"/>
              </w:rPr>
            </w:pPr>
          </w:p>
          <w:p w:rsidR="00D77CE6" w:rsidRDefault="00D77CE6" w:rsidP="00D67858">
            <w:pPr>
              <w:spacing w:after="0"/>
              <w:ind w:left="720"/>
              <w:jc w:val="both"/>
              <w:rPr>
                <w:rFonts w:ascii="Calibri" w:eastAsia="Times New Roman" w:hAnsi="Calibri" w:cs="Times New Roman"/>
                <w:bCs/>
                <w:color w:val="000000"/>
                <w:lang w:val="en-US" w:eastAsia="de-DE"/>
              </w:rPr>
            </w:pPr>
          </w:p>
          <w:p w:rsidR="00D77CE6" w:rsidRDefault="00D77CE6" w:rsidP="00D67858">
            <w:pPr>
              <w:spacing w:after="0"/>
              <w:ind w:left="720"/>
              <w:jc w:val="both"/>
              <w:rPr>
                <w:rFonts w:ascii="Calibri" w:eastAsia="Times New Roman" w:hAnsi="Calibri" w:cs="Times New Roman"/>
                <w:bCs/>
                <w:color w:val="000000"/>
                <w:lang w:val="en-US" w:eastAsia="de-DE"/>
              </w:rPr>
            </w:pPr>
          </w:p>
          <w:p w:rsidR="00D77CE6" w:rsidRDefault="00D77CE6" w:rsidP="00D67858">
            <w:pPr>
              <w:spacing w:after="0"/>
              <w:ind w:left="720"/>
              <w:jc w:val="both"/>
              <w:rPr>
                <w:rFonts w:ascii="Calibri" w:eastAsia="Times New Roman" w:hAnsi="Calibri" w:cs="Times New Roman"/>
                <w:bCs/>
                <w:color w:val="000000"/>
                <w:lang w:val="en-US" w:eastAsia="de-DE"/>
              </w:rPr>
            </w:pPr>
          </w:p>
          <w:p w:rsidR="00D77CE6" w:rsidRDefault="00D77CE6" w:rsidP="00D67858">
            <w:pPr>
              <w:spacing w:after="0"/>
              <w:ind w:left="720"/>
              <w:jc w:val="both"/>
              <w:rPr>
                <w:rFonts w:ascii="Calibri" w:eastAsia="Times New Roman" w:hAnsi="Calibri" w:cs="Times New Roman"/>
                <w:bCs/>
                <w:color w:val="000000"/>
                <w:lang w:val="en-US" w:eastAsia="de-DE"/>
              </w:rPr>
            </w:pPr>
          </w:p>
          <w:p w:rsidR="00D77CE6" w:rsidRDefault="00D77CE6" w:rsidP="00D67858">
            <w:pPr>
              <w:spacing w:after="0"/>
              <w:ind w:left="720"/>
              <w:jc w:val="both"/>
              <w:rPr>
                <w:rFonts w:ascii="Calibri" w:eastAsia="Times New Roman" w:hAnsi="Calibri" w:cs="Times New Roman"/>
                <w:bCs/>
                <w:color w:val="000000"/>
                <w:lang w:val="en-US" w:eastAsia="de-DE"/>
              </w:rPr>
            </w:pPr>
          </w:p>
          <w:p w:rsidR="00D77CE6" w:rsidRDefault="00D77CE6" w:rsidP="00D67858">
            <w:pPr>
              <w:spacing w:after="0"/>
              <w:ind w:left="720"/>
              <w:jc w:val="both"/>
              <w:rPr>
                <w:rFonts w:ascii="Calibri" w:eastAsia="Times New Roman" w:hAnsi="Calibri" w:cs="Times New Roman"/>
                <w:bCs/>
                <w:color w:val="000000"/>
                <w:lang w:val="en-US" w:eastAsia="de-DE"/>
              </w:rPr>
            </w:pPr>
          </w:p>
          <w:p w:rsidR="00A71B19" w:rsidRPr="00A71B19" w:rsidRDefault="00A71B19" w:rsidP="0082711C">
            <w:pPr>
              <w:spacing w:after="0"/>
              <w:ind w:left="720"/>
              <w:jc w:val="both"/>
              <w:rPr>
                <w:rFonts w:ascii="Calibri" w:eastAsia="Times New Roman" w:hAnsi="Calibri" w:cs="Times New Roman"/>
                <w:bCs/>
                <w:lang w:val="en-US" w:eastAsia="de-DE"/>
              </w:rPr>
            </w:pPr>
          </w:p>
        </w:tc>
      </w:tr>
      <w:tr w:rsidR="00A71B19" w:rsidRPr="00A71B19" w:rsidTr="00FE6795">
        <w:trPr>
          <w:trHeight w:val="284"/>
        </w:trPr>
        <w:tc>
          <w:tcPr>
            <w:tcW w:w="1710" w:type="dxa"/>
            <w:shd w:val="clear" w:color="auto" w:fill="D9D9D9" w:themeFill="background1" w:themeFillShade="D9"/>
            <w:hideMark/>
          </w:tcPr>
          <w:p w:rsidR="00A71B19" w:rsidRPr="00A71B19" w:rsidRDefault="00A71B19" w:rsidP="00D67858">
            <w:pPr>
              <w:spacing w:after="0"/>
              <w:rPr>
                <w:rFonts w:eastAsia="Times New Roman" w:cs="Times New Roman"/>
                <w:b/>
                <w:bCs/>
                <w:color w:val="000000"/>
                <w:lang w:eastAsia="de-DE"/>
              </w:rPr>
            </w:pPr>
            <w:r w:rsidRPr="00A71B19">
              <w:rPr>
                <w:rFonts w:eastAsia="Times New Roman" w:cs="Times New Roman"/>
                <w:b/>
                <w:bCs/>
                <w:color w:val="000000"/>
                <w:lang w:eastAsia="de-DE"/>
              </w:rPr>
              <w:lastRenderedPageBreak/>
              <w:t xml:space="preserve">Target group </w:t>
            </w:r>
            <w:r w:rsidRPr="00A71B19">
              <w:rPr>
                <w:rFonts w:eastAsia="Times New Roman" w:cs="Times New Roman"/>
                <w:b/>
                <w:bCs/>
                <w:color w:val="000000"/>
                <w:lang w:eastAsia="de-DE"/>
              </w:rPr>
              <w:br/>
              <w:t>of the assistants</w:t>
            </w:r>
          </w:p>
        </w:tc>
        <w:tc>
          <w:tcPr>
            <w:tcW w:w="3603" w:type="dxa"/>
            <w:shd w:val="clear" w:color="auto" w:fill="F2F2F2" w:themeFill="background1" w:themeFillShade="F2"/>
          </w:tcPr>
          <w:p w:rsidR="00A71B19" w:rsidRPr="00A71B19" w:rsidRDefault="00A71B19" w:rsidP="00367AB8">
            <w:pPr>
              <w:spacing w:after="0"/>
              <w:rPr>
                <w:rFonts w:eastAsia="Times New Roman" w:cs="Times New Roman"/>
                <w:bCs/>
                <w:color w:val="000000"/>
                <w:lang w:eastAsia="de-DE"/>
              </w:rPr>
            </w:pPr>
            <w:r w:rsidRPr="00A71B19">
              <w:rPr>
                <w:rFonts w:eastAsia="Times New Roman" w:cs="Times New Roman"/>
                <w:b/>
                <w:bCs/>
                <w:color w:val="000000"/>
                <w:lang w:eastAsia="de-DE"/>
              </w:rPr>
              <w:t>Article 24 para.5</w:t>
            </w:r>
          </w:p>
          <w:p w:rsidR="00A71B19" w:rsidRPr="00A71B19" w:rsidRDefault="00A71B19" w:rsidP="00367AB8">
            <w:pPr>
              <w:spacing w:after="0"/>
              <w:rPr>
                <w:rFonts w:eastAsia="Times New Roman" w:cs="Times New Roman"/>
                <w:bCs/>
                <w:color w:val="000000"/>
                <w:lang w:eastAsia="de-DE"/>
              </w:rPr>
            </w:pPr>
            <w:r w:rsidRPr="00A71B19">
              <w:rPr>
                <w:rFonts w:eastAsia="Times New Roman" w:cs="Times New Roman"/>
                <w:bCs/>
                <w:color w:val="000000"/>
                <w:lang w:eastAsia="de-DE"/>
              </w:rPr>
              <w:t>States Parties shall ensure that persons with disabilities are able to access general tertiary education, vocational training, adult education and lifelong learning without discrimination and on an equal basis with others. To this end, States Parties shall ensure that reasonable accommodation is provided to persons with disabilities.</w:t>
            </w:r>
          </w:p>
        </w:tc>
        <w:tc>
          <w:tcPr>
            <w:tcW w:w="4587" w:type="dxa"/>
          </w:tcPr>
          <w:p w:rsidR="00A71B19" w:rsidRPr="00A71B19" w:rsidRDefault="00A71B19" w:rsidP="00A71B19">
            <w:pPr>
              <w:pStyle w:val="ListParagraph"/>
              <w:numPr>
                <w:ilvl w:val="0"/>
                <w:numId w:val="6"/>
              </w:numPr>
              <w:jc w:val="both"/>
              <w:rPr>
                <w:rFonts w:ascii="Calibri" w:eastAsia="Times New Roman" w:hAnsi="Calibri" w:cs="Times New Roman"/>
                <w:b/>
                <w:bCs/>
                <w:color w:val="000000"/>
                <w:lang w:val="en-US" w:eastAsia="de-DE"/>
              </w:rPr>
            </w:pPr>
            <w:r w:rsidRPr="00A71B19">
              <w:rPr>
                <w:rFonts w:ascii="Calibri" w:eastAsia="Times New Roman" w:hAnsi="Calibri" w:cs="Times New Roman"/>
                <w:b/>
                <w:bCs/>
                <w:color w:val="000000"/>
                <w:lang w:val="en-US" w:eastAsia="de-DE"/>
              </w:rPr>
              <w:t>Assistance for 100% of pupils</w:t>
            </w:r>
          </w:p>
          <w:p w:rsidR="00A71B19" w:rsidRPr="00A71B19" w:rsidRDefault="00A71B19" w:rsidP="00367AB8">
            <w:pPr>
              <w:spacing w:after="0"/>
              <w:ind w:left="720"/>
              <w:jc w:val="both"/>
              <w:rPr>
                <w:rFonts w:ascii="Calibri" w:eastAsia="Times New Roman" w:hAnsi="Calibri" w:cs="Times New Roman"/>
                <w:bCs/>
                <w:color w:val="000000"/>
                <w:lang w:val="en-US" w:eastAsia="de-DE"/>
              </w:rPr>
            </w:pPr>
            <w:r w:rsidRPr="00A71B19">
              <w:rPr>
                <w:rFonts w:ascii="Calibri" w:eastAsia="Times New Roman" w:hAnsi="Calibri" w:cs="Times New Roman"/>
                <w:bCs/>
                <w:color w:val="000000"/>
                <w:lang w:val="en-US" w:eastAsia="de-DE"/>
              </w:rPr>
              <w:t>Assistants should work with pupils from 0-25 years: from early intervention to finishing University.</w:t>
            </w:r>
          </w:p>
          <w:p w:rsidR="00A71B19" w:rsidRPr="00A71B19" w:rsidRDefault="00A71B19" w:rsidP="00367AB8">
            <w:pPr>
              <w:spacing w:after="0"/>
              <w:ind w:left="720"/>
              <w:jc w:val="both"/>
              <w:rPr>
                <w:rFonts w:ascii="Calibri" w:eastAsia="Times New Roman" w:hAnsi="Calibri" w:cs="Times New Roman"/>
                <w:bCs/>
                <w:color w:val="000000"/>
                <w:lang w:val="en-US" w:eastAsia="de-DE"/>
              </w:rPr>
            </w:pPr>
            <w:r w:rsidRPr="00A71B19">
              <w:rPr>
                <w:rFonts w:ascii="Calibri" w:eastAsia="Times New Roman" w:hAnsi="Calibri" w:cs="Times New Roman"/>
                <w:bCs/>
                <w:color w:val="000000"/>
                <w:lang w:val="en-US" w:eastAsia="de-DE"/>
              </w:rPr>
              <w:t xml:space="preserve">Assistants should see themselves responsible for all individuals in class according to their needs, not only for those already identified as having special needs e.g. immigrants, talents etc. </w:t>
            </w:r>
          </w:p>
        </w:tc>
        <w:tc>
          <w:tcPr>
            <w:tcW w:w="4230" w:type="dxa"/>
            <w:shd w:val="clear" w:color="auto" w:fill="auto"/>
          </w:tcPr>
          <w:p w:rsidR="00A71B19" w:rsidRDefault="00A71B19" w:rsidP="00D67858">
            <w:pPr>
              <w:spacing w:after="0"/>
              <w:ind w:left="720"/>
              <w:jc w:val="both"/>
              <w:rPr>
                <w:rFonts w:ascii="Calibri" w:eastAsia="Times New Roman" w:hAnsi="Calibri" w:cs="Times New Roman"/>
                <w:bCs/>
                <w:color w:val="000000"/>
                <w:lang w:val="en-US" w:eastAsia="de-DE"/>
              </w:rPr>
            </w:pPr>
          </w:p>
          <w:p w:rsidR="00D77CE6" w:rsidRPr="00A71B19" w:rsidRDefault="00D77CE6" w:rsidP="00D67858">
            <w:pPr>
              <w:spacing w:after="0"/>
              <w:ind w:left="720"/>
              <w:jc w:val="both"/>
              <w:rPr>
                <w:rFonts w:ascii="Calibri" w:eastAsia="Times New Roman" w:hAnsi="Calibri" w:cs="Times New Roman"/>
                <w:bCs/>
                <w:color w:val="000000"/>
                <w:lang w:val="en-US" w:eastAsia="de-DE"/>
              </w:rPr>
            </w:pPr>
          </w:p>
        </w:tc>
      </w:tr>
      <w:tr w:rsidR="00A71B19" w:rsidRPr="00A71B19" w:rsidTr="00FE6795">
        <w:trPr>
          <w:trHeight w:val="284"/>
        </w:trPr>
        <w:tc>
          <w:tcPr>
            <w:tcW w:w="1710" w:type="dxa"/>
            <w:shd w:val="clear" w:color="auto" w:fill="D9D9D9" w:themeFill="background1" w:themeFillShade="D9"/>
          </w:tcPr>
          <w:p w:rsidR="00A71B19" w:rsidRPr="00A71B19" w:rsidRDefault="00A71B19" w:rsidP="00D67858">
            <w:pPr>
              <w:spacing w:after="0"/>
              <w:rPr>
                <w:rFonts w:eastAsia="Times New Roman" w:cs="Times New Roman"/>
                <w:b/>
                <w:bCs/>
                <w:color w:val="000000"/>
                <w:lang w:eastAsia="de-DE"/>
              </w:rPr>
            </w:pPr>
            <w:r w:rsidRPr="00A71B19">
              <w:rPr>
                <w:rFonts w:eastAsia="Times New Roman" w:cs="Times New Roman"/>
                <w:b/>
                <w:bCs/>
                <w:color w:val="000000"/>
                <w:lang w:eastAsia="de-DE"/>
              </w:rPr>
              <w:t xml:space="preserve">Qualifications </w:t>
            </w:r>
            <w:r w:rsidRPr="00A71B19">
              <w:rPr>
                <w:rFonts w:eastAsia="Times New Roman" w:cs="Times New Roman"/>
                <w:b/>
                <w:bCs/>
                <w:color w:val="000000"/>
                <w:lang w:eastAsia="de-DE"/>
              </w:rPr>
              <w:br/>
            </w:r>
          </w:p>
        </w:tc>
        <w:tc>
          <w:tcPr>
            <w:tcW w:w="3603" w:type="dxa"/>
            <w:shd w:val="clear" w:color="auto" w:fill="F2F2F2" w:themeFill="background1" w:themeFillShade="F2"/>
          </w:tcPr>
          <w:p w:rsidR="00A71B19" w:rsidRPr="00A71B19" w:rsidRDefault="00A71B19" w:rsidP="00367AB8">
            <w:pPr>
              <w:spacing w:after="0"/>
              <w:rPr>
                <w:b/>
              </w:rPr>
            </w:pPr>
            <w:r w:rsidRPr="00A71B19">
              <w:rPr>
                <w:rFonts w:eastAsia="Times New Roman" w:cs="Times New Roman"/>
                <w:b/>
                <w:bCs/>
                <w:color w:val="000000"/>
                <w:lang w:eastAsia="de-DE"/>
              </w:rPr>
              <w:t xml:space="preserve">General Comment no.4, </w:t>
            </w:r>
            <w:r w:rsidRPr="00A71B19">
              <w:rPr>
                <w:b/>
              </w:rPr>
              <w:t>Section II, para.12</w:t>
            </w:r>
          </w:p>
          <w:p w:rsidR="00A71B19" w:rsidRPr="00A71B19" w:rsidRDefault="00A71B19" w:rsidP="00367AB8">
            <w:pPr>
              <w:spacing w:after="0"/>
              <w:rPr>
                <w:rFonts w:eastAsia="Times New Roman" w:cs="Times New Roman"/>
                <w:bCs/>
                <w:color w:val="000000"/>
                <w:lang w:eastAsia="de-DE"/>
              </w:rPr>
            </w:pPr>
            <w:r w:rsidRPr="00A71B19">
              <w:rPr>
                <w:rFonts w:eastAsia="Times New Roman" w:cs="Times New Roman"/>
                <w:bCs/>
                <w:color w:val="000000"/>
                <w:lang w:eastAsia="de-DE"/>
              </w:rPr>
              <w:t>The core features of inclusive education are: (…)</w:t>
            </w:r>
          </w:p>
          <w:p w:rsidR="00A71B19" w:rsidRPr="00A71B19" w:rsidRDefault="00A71B19" w:rsidP="00367AB8">
            <w:pPr>
              <w:spacing w:after="0"/>
              <w:rPr>
                <w:rFonts w:eastAsia="Times New Roman" w:cs="Times New Roman"/>
                <w:b/>
                <w:bCs/>
                <w:color w:val="000000"/>
                <w:lang w:eastAsia="de-DE"/>
              </w:rPr>
            </w:pPr>
            <w:r w:rsidRPr="00A71B19">
              <w:t xml:space="preserve">(d) Supported teachers: all teachers and other staff receive the education </w:t>
            </w:r>
            <w:r w:rsidRPr="00A71B19">
              <w:lastRenderedPageBreak/>
              <w:t>and training they need to give them the core values and competencies to accommodate inclusive learning environments, which include teachers with disabilities. An inclusive culture provides an accessible and supportive environment that encourages working through collaboration, interaction and problem-solving</w:t>
            </w:r>
          </w:p>
        </w:tc>
        <w:tc>
          <w:tcPr>
            <w:tcW w:w="4587" w:type="dxa"/>
          </w:tcPr>
          <w:p w:rsidR="00A71B19" w:rsidRPr="00A71B19" w:rsidRDefault="00A71B19" w:rsidP="00A71B19">
            <w:pPr>
              <w:pStyle w:val="ListParagraph"/>
              <w:numPr>
                <w:ilvl w:val="0"/>
                <w:numId w:val="6"/>
              </w:numPr>
              <w:jc w:val="both"/>
              <w:rPr>
                <w:rFonts w:ascii="Calibri" w:eastAsia="Times New Roman" w:hAnsi="Calibri" w:cs="Times New Roman"/>
                <w:b/>
                <w:bCs/>
                <w:lang w:val="en-US" w:eastAsia="de-DE"/>
              </w:rPr>
            </w:pPr>
            <w:r w:rsidRPr="00A71B19">
              <w:rPr>
                <w:rFonts w:ascii="Calibri" w:eastAsia="Times New Roman" w:hAnsi="Calibri" w:cs="Times New Roman"/>
                <w:b/>
                <w:bCs/>
                <w:lang w:val="en-US" w:eastAsia="de-DE"/>
              </w:rPr>
              <w:lastRenderedPageBreak/>
              <w:t>At European level</w:t>
            </w:r>
          </w:p>
          <w:p w:rsidR="00A71B19" w:rsidRPr="00A71B19" w:rsidRDefault="00A71B19" w:rsidP="00367AB8">
            <w:pPr>
              <w:spacing w:after="0"/>
              <w:ind w:left="720"/>
              <w:jc w:val="both"/>
              <w:rPr>
                <w:rFonts w:ascii="Calibri" w:eastAsia="Times New Roman" w:hAnsi="Calibri" w:cs="Times New Roman"/>
                <w:bCs/>
                <w:color w:val="000000"/>
                <w:lang w:val="en-US" w:eastAsia="de-DE"/>
              </w:rPr>
            </w:pPr>
            <w:r w:rsidRPr="00A71B19">
              <w:rPr>
                <w:rFonts w:ascii="Calibri" w:eastAsia="Times New Roman" w:hAnsi="Calibri" w:cs="Times New Roman"/>
                <w:bCs/>
                <w:color w:val="000000"/>
                <w:lang w:val="en-US" w:eastAsia="de-DE"/>
              </w:rPr>
              <w:t xml:space="preserve">Recommendations for qualification standards according to European Qualification Framework (EQF) criteria should be defined at European level.  These should refer to the established </w:t>
            </w:r>
            <w:r w:rsidRPr="00A71B19">
              <w:rPr>
                <w:rFonts w:ascii="Calibri" w:eastAsia="Times New Roman" w:hAnsi="Calibri" w:cs="Times New Roman"/>
                <w:bCs/>
                <w:color w:val="000000"/>
                <w:lang w:val="en-US" w:eastAsia="de-DE"/>
              </w:rPr>
              <w:lastRenderedPageBreak/>
              <w:t xml:space="preserve">legal framework (see above). </w:t>
            </w:r>
          </w:p>
          <w:p w:rsidR="00A71B19" w:rsidRPr="00A71B19" w:rsidRDefault="00A71B19" w:rsidP="00A71B19">
            <w:pPr>
              <w:pStyle w:val="ListParagraph"/>
              <w:numPr>
                <w:ilvl w:val="0"/>
                <w:numId w:val="6"/>
              </w:numPr>
              <w:jc w:val="both"/>
              <w:rPr>
                <w:rFonts w:ascii="Calibri" w:eastAsia="Times New Roman" w:hAnsi="Calibri" w:cs="Times New Roman"/>
                <w:b/>
                <w:bCs/>
                <w:lang w:val="en-US" w:eastAsia="de-DE"/>
              </w:rPr>
            </w:pPr>
            <w:r w:rsidRPr="00A71B19">
              <w:rPr>
                <w:rFonts w:ascii="Calibri" w:eastAsia="Times New Roman" w:hAnsi="Calibri" w:cs="Times New Roman"/>
                <w:b/>
                <w:bCs/>
                <w:lang w:val="en-US" w:eastAsia="de-DE"/>
              </w:rPr>
              <w:t>At national level</w:t>
            </w:r>
          </w:p>
          <w:p w:rsidR="00A71B19" w:rsidRPr="00A71B19" w:rsidRDefault="00A71B19" w:rsidP="00367AB8">
            <w:pPr>
              <w:spacing w:after="0"/>
              <w:ind w:left="720"/>
              <w:jc w:val="both"/>
              <w:rPr>
                <w:rFonts w:ascii="Calibri" w:eastAsia="Times New Roman" w:hAnsi="Calibri" w:cs="Times New Roman"/>
                <w:bCs/>
                <w:color w:val="FF0000"/>
                <w:lang w:val="en-US" w:eastAsia="de-DE"/>
              </w:rPr>
            </w:pPr>
            <w:r w:rsidRPr="00A71B19">
              <w:rPr>
                <w:rFonts w:ascii="Calibri" w:eastAsia="Times New Roman" w:hAnsi="Calibri" w:cs="Times New Roman"/>
                <w:bCs/>
                <w:color w:val="000000"/>
                <w:lang w:val="en-US" w:eastAsia="de-DE"/>
              </w:rPr>
              <w:t>Every country should set up standards for the qualification of assistants, which should be consistent with the European Union recommendations when available. Countries should also ensure that professional development for active and future staff is available and affordable.</w:t>
            </w:r>
            <w:r w:rsidRPr="00A71B19">
              <w:rPr>
                <w:rFonts w:ascii="Calibri" w:eastAsia="Times New Roman" w:hAnsi="Calibri" w:cs="Times New Roman"/>
                <w:bCs/>
                <w:color w:val="FF0000"/>
                <w:lang w:val="en-US" w:eastAsia="de-DE"/>
              </w:rPr>
              <w:t xml:space="preserve">  </w:t>
            </w:r>
          </w:p>
          <w:p w:rsidR="00A71B19" w:rsidRPr="00A71B19" w:rsidRDefault="00A71B19" w:rsidP="00A71B19">
            <w:pPr>
              <w:pStyle w:val="ListParagraph"/>
              <w:numPr>
                <w:ilvl w:val="0"/>
                <w:numId w:val="10"/>
              </w:numPr>
              <w:jc w:val="both"/>
              <w:rPr>
                <w:rFonts w:ascii="Calibri" w:eastAsia="Times New Roman" w:hAnsi="Calibri" w:cs="Times New Roman"/>
                <w:b/>
                <w:bCs/>
                <w:lang w:val="en-US" w:eastAsia="de-DE"/>
              </w:rPr>
            </w:pPr>
            <w:r w:rsidRPr="00A71B19">
              <w:rPr>
                <w:rFonts w:ascii="Calibri" w:eastAsia="Times New Roman" w:hAnsi="Calibri" w:cs="Times New Roman"/>
                <w:b/>
                <w:bCs/>
                <w:lang w:val="en-US" w:eastAsia="de-DE"/>
              </w:rPr>
              <w:t>At individual level</w:t>
            </w:r>
          </w:p>
          <w:p w:rsidR="00A71B19" w:rsidRPr="00A71B19" w:rsidRDefault="00A71B19" w:rsidP="00367AB8">
            <w:pPr>
              <w:spacing w:after="0"/>
              <w:ind w:left="720"/>
              <w:jc w:val="both"/>
              <w:rPr>
                <w:rFonts w:ascii="Calibri" w:eastAsia="Times New Roman" w:hAnsi="Calibri" w:cs="Times New Roman"/>
                <w:bCs/>
                <w:color w:val="FF0000"/>
                <w:lang w:val="en-US" w:eastAsia="de-DE"/>
              </w:rPr>
            </w:pPr>
            <w:r w:rsidRPr="00A71B19">
              <w:rPr>
                <w:rFonts w:ascii="Calibri" w:eastAsia="Times New Roman" w:hAnsi="Calibri" w:cs="Times New Roman"/>
                <w:bCs/>
                <w:lang w:val="en-US" w:eastAsia="de-DE"/>
              </w:rPr>
              <w:t>The educational system has to offer a vocational education and training and continuous professional development for assistants. Assistants should be encouraged and enabled to get the qualification needed.</w:t>
            </w:r>
          </w:p>
        </w:tc>
        <w:tc>
          <w:tcPr>
            <w:tcW w:w="4230" w:type="dxa"/>
            <w:shd w:val="clear" w:color="auto" w:fill="auto"/>
          </w:tcPr>
          <w:p w:rsidR="006B2E8A" w:rsidRDefault="006B2E8A" w:rsidP="006B2E8A">
            <w:pPr>
              <w:pStyle w:val="ListParagraph"/>
              <w:jc w:val="both"/>
              <w:rPr>
                <w:rFonts w:ascii="Calibri" w:eastAsia="Times New Roman" w:hAnsi="Calibri" w:cs="Times New Roman"/>
                <w:b/>
                <w:bCs/>
                <w:lang w:val="en-US" w:eastAsia="de-DE"/>
              </w:rPr>
            </w:pPr>
          </w:p>
          <w:p w:rsidR="006B2E8A" w:rsidRDefault="006B2E8A" w:rsidP="006B2E8A">
            <w:pPr>
              <w:pStyle w:val="ListParagraph"/>
              <w:jc w:val="both"/>
              <w:rPr>
                <w:rFonts w:ascii="Calibri" w:eastAsia="Times New Roman" w:hAnsi="Calibri" w:cs="Times New Roman"/>
                <w:b/>
                <w:bCs/>
                <w:lang w:val="en-US" w:eastAsia="de-DE"/>
              </w:rPr>
            </w:pPr>
          </w:p>
          <w:p w:rsidR="006B2E8A" w:rsidRDefault="006B2E8A" w:rsidP="006B2E8A">
            <w:pPr>
              <w:pStyle w:val="ListParagraph"/>
              <w:jc w:val="both"/>
              <w:rPr>
                <w:rFonts w:ascii="Calibri" w:eastAsia="Times New Roman" w:hAnsi="Calibri" w:cs="Times New Roman"/>
                <w:b/>
                <w:bCs/>
                <w:lang w:val="en-US" w:eastAsia="de-DE"/>
              </w:rPr>
            </w:pPr>
          </w:p>
          <w:p w:rsidR="006B2E8A" w:rsidRDefault="006B2E8A" w:rsidP="006B2E8A">
            <w:pPr>
              <w:pStyle w:val="ListParagraph"/>
              <w:jc w:val="both"/>
              <w:rPr>
                <w:rFonts w:ascii="Calibri" w:eastAsia="Times New Roman" w:hAnsi="Calibri" w:cs="Times New Roman"/>
                <w:b/>
                <w:bCs/>
                <w:lang w:val="en-US" w:eastAsia="de-DE"/>
              </w:rPr>
            </w:pPr>
          </w:p>
          <w:p w:rsidR="006B2E8A" w:rsidRDefault="006B2E8A" w:rsidP="006B2E8A">
            <w:pPr>
              <w:pStyle w:val="ListParagraph"/>
              <w:jc w:val="both"/>
              <w:rPr>
                <w:rFonts w:ascii="Calibri" w:eastAsia="Times New Roman" w:hAnsi="Calibri" w:cs="Times New Roman"/>
                <w:b/>
                <w:bCs/>
                <w:lang w:val="en-US" w:eastAsia="de-DE"/>
              </w:rPr>
            </w:pPr>
          </w:p>
          <w:p w:rsidR="006B2E8A" w:rsidRDefault="006B2E8A" w:rsidP="006B2E8A">
            <w:pPr>
              <w:pStyle w:val="ListParagraph"/>
              <w:jc w:val="both"/>
              <w:rPr>
                <w:rFonts w:ascii="Calibri" w:eastAsia="Times New Roman" w:hAnsi="Calibri" w:cs="Times New Roman"/>
                <w:b/>
                <w:bCs/>
                <w:lang w:val="en-US" w:eastAsia="de-DE"/>
              </w:rPr>
            </w:pPr>
          </w:p>
          <w:p w:rsidR="006B2E8A" w:rsidRDefault="006B2E8A" w:rsidP="006B2E8A">
            <w:pPr>
              <w:pStyle w:val="ListParagraph"/>
              <w:jc w:val="both"/>
              <w:rPr>
                <w:rFonts w:ascii="Calibri" w:eastAsia="Times New Roman" w:hAnsi="Calibri" w:cs="Times New Roman"/>
                <w:b/>
                <w:bCs/>
                <w:lang w:val="en-US" w:eastAsia="de-DE"/>
              </w:rPr>
            </w:pPr>
          </w:p>
          <w:p w:rsidR="006A36CD" w:rsidRDefault="006A36CD" w:rsidP="006A36CD">
            <w:pPr>
              <w:spacing w:after="0"/>
              <w:jc w:val="both"/>
              <w:rPr>
                <w:rFonts w:ascii="Calibri" w:eastAsia="Times New Roman" w:hAnsi="Calibri" w:cs="Times New Roman"/>
                <w:bCs/>
                <w:color w:val="000000"/>
                <w:lang w:val="en-US" w:eastAsia="de-DE"/>
              </w:rPr>
            </w:pPr>
          </w:p>
          <w:p w:rsidR="00DA505C" w:rsidRDefault="003C3A5D" w:rsidP="006A36CD">
            <w:pPr>
              <w:spacing w:after="0"/>
              <w:jc w:val="both"/>
              <w:rPr>
                <w:rFonts w:ascii="Calibri" w:eastAsia="Times New Roman" w:hAnsi="Calibri" w:cs="Times New Roman"/>
                <w:bCs/>
                <w:color w:val="000000"/>
                <w:lang w:val="en-US" w:eastAsia="de-DE"/>
              </w:rPr>
            </w:pPr>
            <w:r w:rsidRPr="00DA505C">
              <w:rPr>
                <w:rFonts w:ascii="Calibri" w:eastAsia="Times New Roman" w:hAnsi="Calibri" w:cs="Times New Roman"/>
                <w:bCs/>
                <w:color w:val="000000"/>
                <w:lang w:val="en-US" w:eastAsia="de-DE"/>
              </w:rPr>
              <w:t>Professional St</w:t>
            </w:r>
            <w:r w:rsidR="00DA505C">
              <w:rPr>
                <w:rFonts w:ascii="Calibri" w:eastAsia="Times New Roman" w:hAnsi="Calibri" w:cs="Times New Roman"/>
                <w:bCs/>
                <w:color w:val="000000"/>
                <w:lang w:val="en-US" w:eastAsia="de-DE"/>
              </w:rPr>
              <w:t xml:space="preserve">andards for Teaching Assistants should be provided by the </w:t>
            </w:r>
            <w:proofErr w:type="spellStart"/>
            <w:r w:rsidR="00DA505C">
              <w:rPr>
                <w:rFonts w:ascii="Calibri" w:eastAsia="Times New Roman" w:hAnsi="Calibri" w:cs="Times New Roman"/>
                <w:bCs/>
                <w:color w:val="000000"/>
                <w:lang w:val="en-US" w:eastAsia="de-DE"/>
              </w:rPr>
              <w:t>DfE</w:t>
            </w:r>
            <w:proofErr w:type="spellEnd"/>
            <w:r w:rsidR="00DA505C">
              <w:rPr>
                <w:rFonts w:ascii="Calibri" w:eastAsia="Times New Roman" w:hAnsi="Calibri" w:cs="Times New Roman"/>
                <w:bCs/>
                <w:color w:val="000000"/>
                <w:lang w:val="en-US" w:eastAsia="de-DE"/>
              </w:rPr>
              <w:t xml:space="preserve">.  Existing standards are </w:t>
            </w:r>
            <w:r w:rsidRPr="00DA505C">
              <w:t>non-mandatory and non-statutory</w:t>
            </w:r>
            <w:r w:rsidR="00DA505C">
              <w:rPr>
                <w:rFonts w:ascii="Calibri" w:eastAsia="Times New Roman" w:hAnsi="Calibri" w:cs="Times New Roman"/>
                <w:bCs/>
                <w:color w:val="000000"/>
                <w:lang w:val="en-US" w:eastAsia="de-DE"/>
              </w:rPr>
              <w:t xml:space="preserve">, published independently of the </w:t>
            </w:r>
            <w:proofErr w:type="spellStart"/>
            <w:r w:rsidR="00DA505C">
              <w:rPr>
                <w:rFonts w:ascii="Calibri" w:eastAsia="Times New Roman" w:hAnsi="Calibri" w:cs="Times New Roman"/>
                <w:bCs/>
                <w:color w:val="000000"/>
                <w:lang w:val="en-US" w:eastAsia="de-DE"/>
              </w:rPr>
              <w:t>DfE</w:t>
            </w:r>
            <w:proofErr w:type="spellEnd"/>
            <w:r w:rsidR="00DA505C">
              <w:rPr>
                <w:rFonts w:ascii="Calibri" w:eastAsia="Times New Roman" w:hAnsi="Calibri" w:cs="Times New Roman"/>
                <w:bCs/>
                <w:color w:val="000000"/>
                <w:lang w:val="en-US" w:eastAsia="de-DE"/>
              </w:rPr>
              <w:t>.</w:t>
            </w:r>
          </w:p>
          <w:p w:rsidR="00DA505C" w:rsidRDefault="00DA505C" w:rsidP="00D67858">
            <w:pPr>
              <w:spacing w:after="0"/>
              <w:ind w:left="720"/>
              <w:jc w:val="both"/>
              <w:rPr>
                <w:rFonts w:ascii="Calibri" w:eastAsia="Times New Roman" w:hAnsi="Calibri" w:cs="Times New Roman"/>
                <w:bCs/>
                <w:color w:val="000000"/>
                <w:lang w:val="en-US" w:eastAsia="de-DE"/>
              </w:rPr>
            </w:pPr>
          </w:p>
          <w:p w:rsidR="00DA505C" w:rsidRDefault="00DA505C" w:rsidP="00D67858">
            <w:pPr>
              <w:spacing w:after="0"/>
              <w:ind w:left="720"/>
              <w:jc w:val="both"/>
              <w:rPr>
                <w:rFonts w:ascii="Calibri" w:eastAsia="Times New Roman" w:hAnsi="Calibri" w:cs="Times New Roman"/>
                <w:bCs/>
                <w:color w:val="000000"/>
                <w:lang w:val="en-US" w:eastAsia="de-DE"/>
              </w:rPr>
            </w:pPr>
          </w:p>
          <w:p w:rsidR="00DA505C" w:rsidRDefault="00DA505C" w:rsidP="00D67858">
            <w:pPr>
              <w:spacing w:after="0"/>
              <w:ind w:left="720"/>
              <w:jc w:val="both"/>
              <w:rPr>
                <w:rFonts w:ascii="Calibri" w:eastAsia="Times New Roman" w:hAnsi="Calibri" w:cs="Times New Roman"/>
                <w:bCs/>
                <w:color w:val="000000"/>
                <w:lang w:val="en-US" w:eastAsia="de-DE"/>
              </w:rPr>
            </w:pPr>
          </w:p>
          <w:p w:rsidR="00A71B19" w:rsidRPr="00DA505C" w:rsidRDefault="00A71B19" w:rsidP="00DA505C">
            <w:pPr>
              <w:jc w:val="both"/>
              <w:rPr>
                <w:rFonts w:ascii="Calibri" w:eastAsia="Times New Roman" w:hAnsi="Calibri" w:cs="Times New Roman"/>
                <w:b/>
                <w:bCs/>
                <w:lang w:val="en-US" w:eastAsia="de-DE"/>
              </w:rPr>
            </w:pPr>
          </w:p>
        </w:tc>
      </w:tr>
      <w:tr w:rsidR="00A71B19" w:rsidRPr="00A71B19" w:rsidTr="00FE6795">
        <w:trPr>
          <w:trHeight w:val="284"/>
        </w:trPr>
        <w:tc>
          <w:tcPr>
            <w:tcW w:w="1710" w:type="dxa"/>
            <w:shd w:val="clear" w:color="auto" w:fill="D9D9D9" w:themeFill="background1" w:themeFillShade="D9"/>
            <w:hideMark/>
          </w:tcPr>
          <w:p w:rsidR="00A71B19" w:rsidRPr="00A71B19" w:rsidRDefault="00A71B19" w:rsidP="00D67858">
            <w:pPr>
              <w:spacing w:after="0"/>
              <w:rPr>
                <w:rFonts w:eastAsia="Times New Roman" w:cs="Times New Roman"/>
                <w:b/>
                <w:bCs/>
                <w:color w:val="000000"/>
                <w:lang w:eastAsia="de-DE"/>
              </w:rPr>
            </w:pPr>
            <w:r w:rsidRPr="00A71B19">
              <w:rPr>
                <w:rFonts w:eastAsia="Times New Roman" w:cs="Times New Roman"/>
                <w:b/>
                <w:bCs/>
                <w:color w:val="000000"/>
                <w:lang w:eastAsia="de-DE"/>
              </w:rPr>
              <w:lastRenderedPageBreak/>
              <w:t>Aims and tasks</w:t>
            </w:r>
            <w:r w:rsidRPr="00A71B19">
              <w:rPr>
                <w:rFonts w:eastAsia="Times New Roman" w:cs="Times New Roman"/>
                <w:b/>
                <w:bCs/>
                <w:color w:val="000000"/>
                <w:lang w:eastAsia="de-DE"/>
              </w:rPr>
              <w:br/>
            </w:r>
          </w:p>
        </w:tc>
        <w:tc>
          <w:tcPr>
            <w:tcW w:w="3603" w:type="dxa"/>
            <w:shd w:val="clear" w:color="auto" w:fill="F2F2F2" w:themeFill="background1" w:themeFillShade="F2"/>
          </w:tcPr>
          <w:p w:rsidR="00A71B19" w:rsidRPr="00A71B19" w:rsidRDefault="00A71B19" w:rsidP="00367AB8">
            <w:pPr>
              <w:spacing w:after="0"/>
              <w:rPr>
                <w:rFonts w:eastAsia="Times New Roman" w:cs="Times New Roman"/>
                <w:b/>
                <w:bCs/>
                <w:color w:val="000000"/>
                <w:lang w:eastAsia="de-DE"/>
              </w:rPr>
            </w:pPr>
          </w:p>
          <w:p w:rsidR="00A71B19" w:rsidRPr="00A71B19" w:rsidRDefault="00A71B19" w:rsidP="00367AB8">
            <w:pPr>
              <w:spacing w:after="0"/>
              <w:rPr>
                <w:rFonts w:eastAsia="Times New Roman" w:cs="Times New Roman"/>
                <w:b/>
                <w:bCs/>
                <w:color w:val="000000"/>
                <w:lang w:eastAsia="de-DE"/>
              </w:rPr>
            </w:pPr>
          </w:p>
          <w:p w:rsidR="00A71B19" w:rsidRDefault="00A71B19" w:rsidP="00367AB8">
            <w:pPr>
              <w:spacing w:after="0"/>
              <w:rPr>
                <w:rFonts w:eastAsia="Times New Roman" w:cs="Times New Roman"/>
                <w:b/>
                <w:bCs/>
                <w:color w:val="000000"/>
                <w:lang w:eastAsia="de-DE"/>
              </w:rPr>
            </w:pPr>
          </w:p>
          <w:p w:rsidR="006A36CD" w:rsidRDefault="006A36CD" w:rsidP="00367AB8">
            <w:pPr>
              <w:spacing w:after="0"/>
              <w:rPr>
                <w:rFonts w:eastAsia="Times New Roman" w:cs="Times New Roman"/>
                <w:b/>
                <w:bCs/>
                <w:color w:val="000000"/>
                <w:lang w:eastAsia="de-DE"/>
              </w:rPr>
            </w:pPr>
          </w:p>
          <w:p w:rsidR="00A71B19" w:rsidRPr="00A71B19" w:rsidRDefault="00A71B19" w:rsidP="00367AB8">
            <w:pPr>
              <w:spacing w:after="0"/>
              <w:rPr>
                <w:rFonts w:eastAsia="Times New Roman" w:cs="Times New Roman"/>
                <w:b/>
                <w:bCs/>
                <w:color w:val="000000"/>
                <w:lang w:eastAsia="de-DE"/>
              </w:rPr>
            </w:pPr>
          </w:p>
          <w:p w:rsidR="00A71B19" w:rsidRPr="00A71B19" w:rsidRDefault="00A71B19" w:rsidP="00367AB8">
            <w:pPr>
              <w:spacing w:after="0"/>
              <w:rPr>
                <w:rFonts w:eastAsia="Times New Roman" w:cs="Times New Roman"/>
                <w:b/>
                <w:bCs/>
                <w:color w:val="000000"/>
                <w:lang w:eastAsia="de-DE"/>
              </w:rPr>
            </w:pPr>
            <w:r w:rsidRPr="00A71B19">
              <w:rPr>
                <w:rFonts w:eastAsia="Times New Roman" w:cs="Times New Roman"/>
                <w:b/>
                <w:bCs/>
                <w:color w:val="000000"/>
                <w:lang w:eastAsia="de-DE"/>
              </w:rPr>
              <w:t xml:space="preserve">Article 24 para.2d </w:t>
            </w:r>
          </w:p>
          <w:p w:rsidR="00A71B19" w:rsidRPr="00A71B19" w:rsidRDefault="00A71B19" w:rsidP="00367AB8">
            <w:pPr>
              <w:spacing w:after="0"/>
              <w:rPr>
                <w:rFonts w:eastAsia="Times New Roman" w:cs="Times New Roman"/>
                <w:bCs/>
                <w:color w:val="000000"/>
                <w:lang w:eastAsia="de-DE"/>
              </w:rPr>
            </w:pPr>
            <w:r w:rsidRPr="00A71B19">
              <w:rPr>
                <w:rFonts w:eastAsia="Times New Roman" w:cs="Times New Roman"/>
                <w:bCs/>
                <w:color w:val="000000"/>
                <w:lang w:eastAsia="de-DE"/>
              </w:rPr>
              <w:t>Persons with disabilities receive the support required, within the general education system, to facilitate their effective education</w:t>
            </w:r>
          </w:p>
          <w:p w:rsidR="00A71B19" w:rsidRPr="00A71B19" w:rsidRDefault="00A71B19" w:rsidP="00367AB8">
            <w:pPr>
              <w:spacing w:after="0"/>
              <w:rPr>
                <w:rFonts w:eastAsia="Times New Roman" w:cs="Times New Roman"/>
                <w:bCs/>
                <w:color w:val="000000"/>
                <w:lang w:eastAsia="de-DE"/>
              </w:rPr>
            </w:pPr>
          </w:p>
          <w:p w:rsidR="00A71B19" w:rsidRPr="00A71B19" w:rsidRDefault="00A71B19" w:rsidP="00367AB8">
            <w:pPr>
              <w:spacing w:after="0"/>
              <w:rPr>
                <w:rFonts w:eastAsia="Times New Roman" w:cs="Times New Roman"/>
                <w:bCs/>
                <w:color w:val="000000"/>
                <w:lang w:eastAsia="de-DE"/>
              </w:rPr>
            </w:pPr>
          </w:p>
          <w:p w:rsidR="00A71B19" w:rsidRPr="00A71B19" w:rsidRDefault="00A71B19" w:rsidP="00367AB8">
            <w:pPr>
              <w:spacing w:after="0"/>
              <w:rPr>
                <w:rFonts w:eastAsia="Times New Roman" w:cs="Times New Roman"/>
                <w:bCs/>
                <w:color w:val="000000"/>
                <w:lang w:eastAsia="de-DE"/>
              </w:rPr>
            </w:pPr>
          </w:p>
          <w:p w:rsidR="00A71B19" w:rsidRPr="00A71B19" w:rsidRDefault="00A71B19" w:rsidP="00367AB8">
            <w:pPr>
              <w:spacing w:after="0"/>
              <w:rPr>
                <w:rFonts w:eastAsia="Times New Roman" w:cs="Times New Roman"/>
                <w:bCs/>
                <w:color w:val="000000"/>
                <w:lang w:eastAsia="de-DE"/>
              </w:rPr>
            </w:pPr>
          </w:p>
          <w:p w:rsidR="00A71B19" w:rsidRPr="00A71B19" w:rsidRDefault="00A71B19" w:rsidP="00367AB8">
            <w:pPr>
              <w:spacing w:after="0"/>
              <w:rPr>
                <w:rFonts w:eastAsia="Times New Roman" w:cs="Times New Roman"/>
                <w:bCs/>
                <w:color w:val="000000"/>
                <w:lang w:eastAsia="de-DE"/>
              </w:rPr>
            </w:pPr>
          </w:p>
          <w:p w:rsidR="00A71B19" w:rsidRPr="00A71B19" w:rsidRDefault="00A71B19" w:rsidP="00367AB8">
            <w:pPr>
              <w:spacing w:after="0"/>
              <w:rPr>
                <w:rFonts w:eastAsia="Times New Roman" w:cs="Times New Roman"/>
                <w:bCs/>
                <w:color w:val="000000"/>
                <w:lang w:eastAsia="de-DE"/>
              </w:rPr>
            </w:pPr>
          </w:p>
          <w:p w:rsidR="00A71B19" w:rsidRPr="00A71B19" w:rsidRDefault="00A71B19" w:rsidP="00367AB8">
            <w:pPr>
              <w:spacing w:after="0"/>
              <w:rPr>
                <w:rFonts w:eastAsia="Times New Roman" w:cs="Times New Roman"/>
                <w:b/>
                <w:bCs/>
                <w:color w:val="000000"/>
                <w:lang w:eastAsia="de-DE"/>
              </w:rPr>
            </w:pPr>
          </w:p>
          <w:p w:rsidR="00A71B19" w:rsidRPr="00A71B19" w:rsidRDefault="00A71B19" w:rsidP="00367AB8">
            <w:pPr>
              <w:spacing w:after="0"/>
              <w:rPr>
                <w:rFonts w:eastAsia="Times New Roman" w:cs="Times New Roman"/>
                <w:b/>
                <w:bCs/>
                <w:color w:val="000000"/>
                <w:lang w:eastAsia="de-DE"/>
              </w:rPr>
            </w:pPr>
          </w:p>
          <w:p w:rsidR="00A71B19" w:rsidRPr="00A71B19" w:rsidRDefault="00A71B19" w:rsidP="00367AB8">
            <w:pPr>
              <w:spacing w:after="0"/>
              <w:rPr>
                <w:rFonts w:eastAsia="Times New Roman" w:cs="Times New Roman"/>
                <w:b/>
                <w:bCs/>
                <w:color w:val="000000"/>
                <w:lang w:eastAsia="de-DE"/>
              </w:rPr>
            </w:pPr>
          </w:p>
          <w:p w:rsidR="00A71B19" w:rsidRPr="00A71B19" w:rsidRDefault="00A71B19" w:rsidP="00367AB8">
            <w:pPr>
              <w:spacing w:after="0"/>
              <w:rPr>
                <w:rFonts w:eastAsia="Times New Roman" w:cs="Times New Roman"/>
                <w:b/>
                <w:bCs/>
                <w:color w:val="000000"/>
                <w:lang w:eastAsia="de-DE"/>
              </w:rPr>
            </w:pPr>
          </w:p>
          <w:p w:rsidR="00A71B19" w:rsidRPr="00A71B19" w:rsidRDefault="00A71B19" w:rsidP="00367AB8">
            <w:pPr>
              <w:spacing w:after="0"/>
              <w:rPr>
                <w:rFonts w:eastAsia="Times New Roman" w:cs="Times New Roman"/>
                <w:b/>
                <w:bCs/>
                <w:color w:val="000000"/>
                <w:lang w:eastAsia="de-DE"/>
              </w:rPr>
            </w:pPr>
          </w:p>
          <w:p w:rsidR="00A71B19" w:rsidRPr="00A71B19" w:rsidRDefault="00A71B19" w:rsidP="00367AB8">
            <w:pPr>
              <w:spacing w:after="0"/>
              <w:rPr>
                <w:rFonts w:eastAsia="Times New Roman" w:cs="Times New Roman"/>
                <w:b/>
                <w:bCs/>
                <w:color w:val="000000"/>
                <w:lang w:eastAsia="de-DE"/>
              </w:rPr>
            </w:pPr>
          </w:p>
          <w:p w:rsidR="00A71B19" w:rsidRPr="00A71B19" w:rsidRDefault="00A71B19" w:rsidP="00367AB8">
            <w:pPr>
              <w:spacing w:after="0"/>
              <w:rPr>
                <w:rFonts w:eastAsia="Times New Roman" w:cs="Times New Roman"/>
                <w:b/>
                <w:bCs/>
                <w:color w:val="000000"/>
                <w:lang w:eastAsia="de-DE"/>
              </w:rPr>
            </w:pPr>
          </w:p>
          <w:p w:rsidR="00A71B19" w:rsidRPr="00A71B19" w:rsidRDefault="00A71B19" w:rsidP="00367AB8">
            <w:pPr>
              <w:spacing w:after="0"/>
              <w:rPr>
                <w:rFonts w:eastAsia="Times New Roman" w:cs="Times New Roman"/>
                <w:b/>
                <w:bCs/>
                <w:color w:val="000000"/>
                <w:lang w:eastAsia="de-DE"/>
              </w:rPr>
            </w:pPr>
          </w:p>
          <w:p w:rsidR="00A71B19" w:rsidRPr="00A71B19" w:rsidRDefault="00A71B19" w:rsidP="00367AB8">
            <w:pPr>
              <w:spacing w:after="0"/>
              <w:rPr>
                <w:rFonts w:eastAsia="Times New Roman" w:cs="Times New Roman"/>
                <w:b/>
                <w:bCs/>
                <w:color w:val="000000"/>
                <w:lang w:eastAsia="de-DE"/>
              </w:rPr>
            </w:pPr>
            <w:r w:rsidRPr="00A71B19">
              <w:rPr>
                <w:rFonts w:eastAsia="Times New Roman" w:cs="Times New Roman"/>
                <w:b/>
                <w:bCs/>
                <w:color w:val="000000"/>
                <w:lang w:eastAsia="de-DE"/>
              </w:rPr>
              <w:t xml:space="preserve">Article 24 para.2e </w:t>
            </w:r>
          </w:p>
          <w:p w:rsidR="00A71B19" w:rsidRPr="00A71B19" w:rsidRDefault="00A71B19" w:rsidP="00367AB8">
            <w:pPr>
              <w:spacing w:after="0"/>
              <w:rPr>
                <w:rFonts w:eastAsia="Times New Roman" w:cs="Times New Roman"/>
                <w:bCs/>
                <w:color w:val="000000"/>
                <w:lang w:eastAsia="de-DE"/>
              </w:rPr>
            </w:pPr>
            <w:r w:rsidRPr="00A71B19">
              <w:rPr>
                <w:rFonts w:eastAsia="Times New Roman" w:cs="Times New Roman"/>
                <w:bCs/>
                <w:color w:val="000000"/>
                <w:lang w:eastAsia="de-DE"/>
              </w:rPr>
              <w:t>Effective individualized support measures are provided in environments that maximize academic and social development, consistent with the goal of full inclusion.</w:t>
            </w:r>
          </w:p>
          <w:p w:rsidR="00A71B19" w:rsidRPr="00A71B19" w:rsidRDefault="00A71B19" w:rsidP="00367AB8">
            <w:pPr>
              <w:spacing w:after="0"/>
              <w:rPr>
                <w:rFonts w:eastAsia="Times New Roman" w:cs="Times New Roman"/>
                <w:bCs/>
                <w:color w:val="000000"/>
                <w:lang w:eastAsia="de-DE"/>
              </w:rPr>
            </w:pPr>
          </w:p>
          <w:p w:rsidR="00A71B19" w:rsidRPr="00A71B19" w:rsidRDefault="00A71B19" w:rsidP="00367AB8">
            <w:pPr>
              <w:spacing w:after="0"/>
              <w:rPr>
                <w:b/>
              </w:rPr>
            </w:pPr>
            <w:r w:rsidRPr="00A71B19">
              <w:rPr>
                <w:rFonts w:eastAsia="Times New Roman" w:cs="Times New Roman"/>
                <w:b/>
                <w:bCs/>
                <w:color w:val="000000"/>
                <w:lang w:eastAsia="de-DE"/>
              </w:rPr>
              <w:t xml:space="preserve">General Comment no.4, </w:t>
            </w:r>
            <w:r w:rsidRPr="00A71B19">
              <w:rPr>
                <w:b/>
              </w:rPr>
              <w:t>Section II, para.16</w:t>
            </w:r>
          </w:p>
          <w:p w:rsidR="00A71B19" w:rsidRPr="00A71B19" w:rsidRDefault="00A71B19" w:rsidP="00367AB8">
            <w:pPr>
              <w:spacing w:after="0"/>
              <w:rPr>
                <w:rFonts w:eastAsia="Times New Roman" w:cs="Times New Roman"/>
                <w:bCs/>
                <w:color w:val="000000"/>
                <w:lang w:eastAsia="de-DE"/>
              </w:rPr>
            </w:pPr>
            <w:r w:rsidRPr="00A71B19">
              <w:t xml:space="preserve">For article 24 (1) (b) to be implemented, education should be directed to the development of the personality, talents and creativity of persons with disabilities, as well as of their mental, physical and </w:t>
            </w:r>
            <w:r w:rsidRPr="00A71B19">
              <w:lastRenderedPageBreak/>
              <w:t>communicational abilities, to their fullest potential.</w:t>
            </w:r>
          </w:p>
        </w:tc>
        <w:tc>
          <w:tcPr>
            <w:tcW w:w="4587" w:type="dxa"/>
          </w:tcPr>
          <w:p w:rsidR="00A71B19" w:rsidRPr="00A71B19" w:rsidRDefault="00A71B19" w:rsidP="00367AB8">
            <w:pPr>
              <w:spacing w:after="0"/>
              <w:jc w:val="both"/>
              <w:rPr>
                <w:lang w:val="en-US"/>
              </w:rPr>
            </w:pPr>
            <w:r w:rsidRPr="00A71B19">
              <w:rPr>
                <w:lang w:val="en-US"/>
              </w:rPr>
              <w:lastRenderedPageBreak/>
              <w:t xml:space="preserve">The aims and tasks of assistants should be in accordance with the relevant qualification standards in each country as well as with the assistants’ legal status. </w:t>
            </w:r>
          </w:p>
          <w:p w:rsidR="00A71B19" w:rsidRPr="00A71B19" w:rsidRDefault="00A71B19" w:rsidP="00367AB8">
            <w:pPr>
              <w:spacing w:after="0"/>
              <w:jc w:val="both"/>
              <w:rPr>
                <w:lang w:val="en-US"/>
              </w:rPr>
            </w:pPr>
          </w:p>
          <w:p w:rsidR="00A71B19" w:rsidRPr="00A71B19" w:rsidRDefault="00A71B19" w:rsidP="00A71B19">
            <w:pPr>
              <w:pStyle w:val="ListParagraph"/>
              <w:numPr>
                <w:ilvl w:val="0"/>
                <w:numId w:val="7"/>
              </w:numPr>
              <w:contextualSpacing w:val="0"/>
              <w:jc w:val="both"/>
              <w:rPr>
                <w:b/>
                <w:lang w:val="en-US"/>
              </w:rPr>
            </w:pPr>
            <w:r w:rsidRPr="00A71B19">
              <w:rPr>
                <w:b/>
                <w:lang w:val="en-US"/>
              </w:rPr>
              <w:t>pedagogical/learning</w:t>
            </w:r>
          </w:p>
          <w:p w:rsidR="00A71B19" w:rsidRPr="00A71B19" w:rsidRDefault="00A71B19" w:rsidP="00A71B19">
            <w:pPr>
              <w:pStyle w:val="ListParagraph"/>
              <w:numPr>
                <w:ilvl w:val="0"/>
                <w:numId w:val="12"/>
              </w:numPr>
              <w:contextualSpacing w:val="0"/>
              <w:jc w:val="both"/>
              <w:rPr>
                <w:lang w:val="en-US"/>
              </w:rPr>
            </w:pPr>
            <w:r w:rsidRPr="00A71B19">
              <w:rPr>
                <w:lang w:val="en-US"/>
              </w:rPr>
              <w:t>educational support with  tasks in class, ideally according to individual learning plans</w:t>
            </w:r>
          </w:p>
          <w:p w:rsidR="00A71B19" w:rsidRPr="00A71B19" w:rsidRDefault="00A71B19" w:rsidP="00A71B19">
            <w:pPr>
              <w:pStyle w:val="ListParagraph"/>
              <w:numPr>
                <w:ilvl w:val="0"/>
                <w:numId w:val="12"/>
              </w:numPr>
              <w:contextualSpacing w:val="0"/>
              <w:jc w:val="both"/>
              <w:rPr>
                <w:lang w:val="en-US"/>
              </w:rPr>
            </w:pPr>
            <w:r w:rsidRPr="00A71B19">
              <w:rPr>
                <w:lang w:val="en-US"/>
              </w:rPr>
              <w:t>focus on learning support rather than on task-completion</w:t>
            </w:r>
          </w:p>
          <w:p w:rsidR="00A71B19" w:rsidRPr="00A71B19" w:rsidRDefault="00A71B19" w:rsidP="00A71B19">
            <w:pPr>
              <w:pStyle w:val="ListParagraph"/>
              <w:numPr>
                <w:ilvl w:val="0"/>
                <w:numId w:val="12"/>
              </w:numPr>
              <w:contextualSpacing w:val="0"/>
              <w:jc w:val="both"/>
              <w:rPr>
                <w:lang w:val="en-US"/>
              </w:rPr>
            </w:pPr>
            <w:r w:rsidRPr="00A71B19">
              <w:rPr>
                <w:lang w:val="en-US"/>
              </w:rPr>
              <w:lastRenderedPageBreak/>
              <w:t xml:space="preserve">execute the tasks set up by the teacher  in the lessons plan </w:t>
            </w:r>
          </w:p>
          <w:p w:rsidR="00A71B19" w:rsidRPr="00A71B19" w:rsidRDefault="00A71B19" w:rsidP="00A71B19">
            <w:pPr>
              <w:pStyle w:val="ListParagraph"/>
              <w:numPr>
                <w:ilvl w:val="0"/>
                <w:numId w:val="12"/>
              </w:numPr>
              <w:contextualSpacing w:val="0"/>
              <w:jc w:val="both"/>
              <w:rPr>
                <w:lang w:val="en-US"/>
              </w:rPr>
            </w:pPr>
            <w:r w:rsidRPr="00A71B19">
              <w:rPr>
                <w:lang w:val="en-US"/>
              </w:rPr>
              <w:t>developing resources in cooperation with teachers</w:t>
            </w:r>
          </w:p>
          <w:p w:rsidR="00A71B19" w:rsidRPr="00A71B19" w:rsidRDefault="00A71B19" w:rsidP="00367AB8">
            <w:pPr>
              <w:pStyle w:val="ListParagraph"/>
              <w:ind w:left="1080"/>
              <w:contextualSpacing w:val="0"/>
              <w:jc w:val="both"/>
              <w:rPr>
                <w:lang w:val="en-US"/>
              </w:rPr>
            </w:pPr>
          </w:p>
          <w:p w:rsidR="00A71B19" w:rsidRPr="00A71B19" w:rsidRDefault="00A71B19" w:rsidP="00A71B19">
            <w:pPr>
              <w:pStyle w:val="ListParagraph"/>
              <w:numPr>
                <w:ilvl w:val="0"/>
                <w:numId w:val="8"/>
              </w:numPr>
              <w:contextualSpacing w:val="0"/>
              <w:jc w:val="both"/>
              <w:rPr>
                <w:b/>
                <w:lang w:val="en-US"/>
              </w:rPr>
            </w:pPr>
            <w:r w:rsidRPr="00A71B19">
              <w:rPr>
                <w:b/>
                <w:lang w:val="en-US"/>
              </w:rPr>
              <w:t>personal assistance</w:t>
            </w:r>
          </w:p>
          <w:p w:rsidR="00A71B19" w:rsidRPr="00A71B19" w:rsidRDefault="00A71B19" w:rsidP="00A71B19">
            <w:pPr>
              <w:pStyle w:val="ListParagraph"/>
              <w:numPr>
                <w:ilvl w:val="0"/>
                <w:numId w:val="13"/>
              </w:numPr>
              <w:contextualSpacing w:val="0"/>
              <w:jc w:val="both"/>
              <w:rPr>
                <w:lang w:val="en-US"/>
              </w:rPr>
            </w:pPr>
            <w:r w:rsidRPr="00A71B19">
              <w:rPr>
                <w:lang w:val="en-US"/>
              </w:rPr>
              <w:t>medical support</w:t>
            </w:r>
          </w:p>
          <w:p w:rsidR="00A71B19" w:rsidRPr="00A71B19" w:rsidRDefault="00A71B19" w:rsidP="00A71B19">
            <w:pPr>
              <w:pStyle w:val="ListParagraph"/>
              <w:numPr>
                <w:ilvl w:val="0"/>
                <w:numId w:val="13"/>
              </w:numPr>
              <w:contextualSpacing w:val="0"/>
              <w:jc w:val="both"/>
              <w:rPr>
                <w:lang w:val="en-US"/>
              </w:rPr>
            </w:pPr>
            <w:r w:rsidRPr="00A71B19">
              <w:rPr>
                <w:lang w:val="en-US"/>
              </w:rPr>
              <w:t>hygiene support</w:t>
            </w:r>
          </w:p>
          <w:p w:rsidR="00A71B19" w:rsidRPr="00A71B19" w:rsidRDefault="00A71B19" w:rsidP="00A71B19">
            <w:pPr>
              <w:pStyle w:val="ListParagraph"/>
              <w:numPr>
                <w:ilvl w:val="0"/>
                <w:numId w:val="13"/>
              </w:numPr>
              <w:contextualSpacing w:val="0"/>
              <w:jc w:val="both"/>
              <w:rPr>
                <w:lang w:val="en-US"/>
              </w:rPr>
            </w:pPr>
            <w:r w:rsidRPr="00A71B19">
              <w:rPr>
                <w:lang w:val="en-US"/>
              </w:rPr>
              <w:t>safety and orientation support</w:t>
            </w:r>
          </w:p>
          <w:p w:rsidR="00A71B19" w:rsidRPr="00A71B19" w:rsidRDefault="00A71B19" w:rsidP="00A71B19">
            <w:pPr>
              <w:pStyle w:val="ListParagraph"/>
              <w:numPr>
                <w:ilvl w:val="0"/>
                <w:numId w:val="13"/>
              </w:numPr>
              <w:contextualSpacing w:val="0"/>
              <w:jc w:val="both"/>
              <w:rPr>
                <w:lang w:val="en-US"/>
              </w:rPr>
            </w:pPr>
            <w:r w:rsidRPr="00A71B19">
              <w:rPr>
                <w:lang w:val="en-US"/>
              </w:rPr>
              <w:t xml:space="preserve">feeding support </w:t>
            </w:r>
          </w:p>
          <w:p w:rsidR="00A71B19" w:rsidRPr="00A71B19" w:rsidRDefault="00A71B19" w:rsidP="00A71B19">
            <w:pPr>
              <w:pStyle w:val="ListParagraph"/>
              <w:numPr>
                <w:ilvl w:val="0"/>
                <w:numId w:val="13"/>
              </w:numPr>
              <w:contextualSpacing w:val="0"/>
              <w:jc w:val="both"/>
              <w:rPr>
                <w:lang w:val="en-US"/>
              </w:rPr>
            </w:pPr>
            <w:r w:rsidRPr="00A71B19">
              <w:rPr>
                <w:lang w:val="en-US"/>
              </w:rPr>
              <w:t>emotional regulation</w:t>
            </w:r>
          </w:p>
          <w:p w:rsidR="00A71B19" w:rsidRPr="00A71B19" w:rsidRDefault="00A71B19" w:rsidP="00A71B19">
            <w:pPr>
              <w:pStyle w:val="ListParagraph"/>
              <w:numPr>
                <w:ilvl w:val="0"/>
                <w:numId w:val="13"/>
              </w:numPr>
              <w:contextualSpacing w:val="0"/>
              <w:jc w:val="both"/>
              <w:rPr>
                <w:lang w:val="en-US"/>
              </w:rPr>
            </w:pPr>
            <w:r w:rsidRPr="00A71B19">
              <w:rPr>
                <w:lang w:val="en-US"/>
              </w:rPr>
              <w:t xml:space="preserve">personal </w:t>
            </w:r>
            <w:r w:rsidRPr="00A71B19">
              <w:rPr>
                <w:lang w:val="en-GB"/>
              </w:rPr>
              <w:t>programmes</w:t>
            </w:r>
            <w:r w:rsidRPr="00A71B19">
              <w:rPr>
                <w:lang w:val="en-US"/>
              </w:rPr>
              <w:t xml:space="preserve"> in cooperation with therapists</w:t>
            </w:r>
          </w:p>
          <w:p w:rsidR="00A71B19" w:rsidRPr="00A71B19" w:rsidRDefault="00A71B19" w:rsidP="00367AB8">
            <w:pPr>
              <w:pStyle w:val="ListParagraph"/>
              <w:contextualSpacing w:val="0"/>
              <w:jc w:val="both"/>
              <w:rPr>
                <w:lang w:val="en-US"/>
              </w:rPr>
            </w:pPr>
          </w:p>
          <w:p w:rsidR="00A71B19" w:rsidRPr="00A71B19" w:rsidRDefault="00A71B19" w:rsidP="00A71B19">
            <w:pPr>
              <w:pStyle w:val="ListParagraph"/>
              <w:numPr>
                <w:ilvl w:val="0"/>
                <w:numId w:val="9"/>
              </w:numPr>
              <w:contextualSpacing w:val="0"/>
              <w:jc w:val="both"/>
              <w:rPr>
                <w:b/>
                <w:lang w:val="en-US"/>
              </w:rPr>
            </w:pPr>
            <w:r w:rsidRPr="00A71B19">
              <w:rPr>
                <w:b/>
                <w:lang w:val="en-US"/>
              </w:rPr>
              <w:t>social/emotional development</w:t>
            </w:r>
          </w:p>
          <w:p w:rsidR="00A71B19" w:rsidRPr="00A71B19" w:rsidRDefault="00A71B19" w:rsidP="00A71B19">
            <w:pPr>
              <w:pStyle w:val="ListParagraph"/>
              <w:numPr>
                <w:ilvl w:val="0"/>
                <w:numId w:val="14"/>
              </w:numPr>
              <w:contextualSpacing w:val="0"/>
              <w:jc w:val="both"/>
              <w:rPr>
                <w:lang w:val="en-US"/>
              </w:rPr>
            </w:pPr>
            <w:r w:rsidRPr="00A71B19">
              <w:rPr>
                <w:lang w:val="en-US"/>
              </w:rPr>
              <w:t>supporting independence</w:t>
            </w:r>
          </w:p>
          <w:p w:rsidR="00AB2514" w:rsidRDefault="00A71B19" w:rsidP="00A71B19">
            <w:pPr>
              <w:pStyle w:val="ListParagraph"/>
              <w:numPr>
                <w:ilvl w:val="0"/>
                <w:numId w:val="14"/>
              </w:numPr>
              <w:contextualSpacing w:val="0"/>
              <w:jc w:val="both"/>
              <w:rPr>
                <w:lang w:val="en-US"/>
              </w:rPr>
            </w:pPr>
            <w:r w:rsidRPr="00A71B19">
              <w:rPr>
                <w:lang w:val="en-US"/>
              </w:rPr>
              <w:t>enabling/structuring social</w:t>
            </w:r>
            <w:r w:rsidR="00AB2514">
              <w:rPr>
                <w:lang w:val="en-US"/>
              </w:rPr>
              <w:t xml:space="preserve"> allies</w:t>
            </w:r>
          </w:p>
          <w:p w:rsidR="00A71B19" w:rsidRPr="00A71B19" w:rsidRDefault="00A71B19" w:rsidP="00A71B19">
            <w:pPr>
              <w:pStyle w:val="ListParagraph"/>
              <w:numPr>
                <w:ilvl w:val="0"/>
                <w:numId w:val="14"/>
              </w:numPr>
              <w:contextualSpacing w:val="0"/>
              <w:jc w:val="both"/>
              <w:rPr>
                <w:lang w:val="en-US"/>
              </w:rPr>
            </w:pPr>
            <w:r w:rsidRPr="00A71B19">
              <w:rPr>
                <w:lang w:val="en-US"/>
              </w:rPr>
              <w:t xml:space="preserve"> interaction to make and keep friends</w:t>
            </w:r>
          </w:p>
          <w:p w:rsidR="00A71B19" w:rsidRPr="00A71B19" w:rsidRDefault="00A71B19" w:rsidP="00A71B19">
            <w:pPr>
              <w:pStyle w:val="ListParagraph"/>
              <w:numPr>
                <w:ilvl w:val="0"/>
                <w:numId w:val="14"/>
              </w:numPr>
              <w:contextualSpacing w:val="0"/>
              <w:jc w:val="both"/>
              <w:rPr>
                <w:lang w:val="en-US"/>
              </w:rPr>
            </w:pPr>
            <w:r w:rsidRPr="00A71B19">
              <w:rPr>
                <w:lang w:val="en-US"/>
              </w:rPr>
              <w:t>graduated approaches to facilitate playing interaction</w:t>
            </w:r>
          </w:p>
          <w:p w:rsidR="00A71B19" w:rsidRPr="00A71B19" w:rsidRDefault="00A71B19" w:rsidP="00A71B19">
            <w:pPr>
              <w:pStyle w:val="ListParagraph"/>
              <w:numPr>
                <w:ilvl w:val="0"/>
                <w:numId w:val="14"/>
              </w:numPr>
              <w:contextualSpacing w:val="0"/>
              <w:jc w:val="both"/>
              <w:rPr>
                <w:lang w:val="en-US"/>
              </w:rPr>
            </w:pPr>
            <w:r w:rsidRPr="00A71B19">
              <w:rPr>
                <w:lang w:val="en-US"/>
              </w:rPr>
              <w:t xml:space="preserve">anti-bullying </w:t>
            </w:r>
          </w:p>
          <w:p w:rsidR="00A71B19" w:rsidRPr="00A71B19" w:rsidRDefault="00A71B19" w:rsidP="00A71B19">
            <w:pPr>
              <w:pStyle w:val="ListParagraph"/>
              <w:numPr>
                <w:ilvl w:val="0"/>
                <w:numId w:val="14"/>
              </w:numPr>
              <w:contextualSpacing w:val="0"/>
              <w:jc w:val="both"/>
              <w:rPr>
                <w:lang w:val="en-US"/>
              </w:rPr>
            </w:pPr>
            <w:r w:rsidRPr="00A71B19">
              <w:rPr>
                <w:lang w:val="en-US"/>
              </w:rPr>
              <w:t>establishing the pupil’s position as a valued member of the school community</w:t>
            </w:r>
          </w:p>
          <w:p w:rsidR="00A71B19" w:rsidRPr="00A71B19" w:rsidRDefault="00A71B19" w:rsidP="00367AB8">
            <w:pPr>
              <w:spacing w:after="0"/>
              <w:jc w:val="both"/>
              <w:rPr>
                <w:lang w:val="en-US"/>
              </w:rPr>
            </w:pPr>
          </w:p>
          <w:p w:rsidR="00A71B19" w:rsidRPr="00A71B19" w:rsidRDefault="00A71B19" w:rsidP="00A71B19">
            <w:pPr>
              <w:pStyle w:val="ListParagraph"/>
              <w:numPr>
                <w:ilvl w:val="0"/>
                <w:numId w:val="10"/>
              </w:numPr>
              <w:jc w:val="both"/>
              <w:rPr>
                <w:b/>
                <w:lang w:val="en-US"/>
              </w:rPr>
            </w:pPr>
            <w:r w:rsidRPr="00A71B19">
              <w:rPr>
                <w:b/>
                <w:lang w:val="en-US"/>
              </w:rPr>
              <w:t>advocacy</w:t>
            </w:r>
          </w:p>
          <w:p w:rsidR="00A71B19" w:rsidRPr="00A71B19" w:rsidRDefault="00A71B19" w:rsidP="00A71B19">
            <w:pPr>
              <w:pStyle w:val="ListParagraph"/>
              <w:numPr>
                <w:ilvl w:val="0"/>
                <w:numId w:val="15"/>
              </w:numPr>
              <w:jc w:val="both"/>
              <w:rPr>
                <w:lang w:val="en-US"/>
              </w:rPr>
            </w:pPr>
            <w:r w:rsidRPr="00A71B19">
              <w:rPr>
                <w:lang w:val="en-US"/>
              </w:rPr>
              <w:t xml:space="preserve">being an ally </w:t>
            </w:r>
          </w:p>
          <w:p w:rsidR="00A71B19" w:rsidRPr="00A71B19" w:rsidRDefault="00A71B19" w:rsidP="00A71B19">
            <w:pPr>
              <w:pStyle w:val="ListParagraph"/>
              <w:numPr>
                <w:ilvl w:val="0"/>
                <w:numId w:val="15"/>
              </w:numPr>
              <w:jc w:val="both"/>
              <w:rPr>
                <w:lang w:val="en-US"/>
              </w:rPr>
            </w:pPr>
            <w:r w:rsidRPr="00A71B19">
              <w:rPr>
                <w:lang w:val="en-US"/>
              </w:rPr>
              <w:t xml:space="preserve">encouraging other pupils to act as </w:t>
            </w:r>
          </w:p>
          <w:p w:rsidR="00A71B19" w:rsidRPr="00A71B19" w:rsidRDefault="00A71B19" w:rsidP="00A71B19">
            <w:pPr>
              <w:pStyle w:val="ListParagraph"/>
              <w:numPr>
                <w:ilvl w:val="0"/>
                <w:numId w:val="15"/>
              </w:numPr>
              <w:jc w:val="both"/>
              <w:rPr>
                <w:lang w:val="en-US"/>
              </w:rPr>
            </w:pPr>
            <w:r w:rsidRPr="00A71B19">
              <w:rPr>
                <w:lang w:val="en-US"/>
              </w:rPr>
              <w:lastRenderedPageBreak/>
              <w:t>supporting the pupil to advocate for themselves</w:t>
            </w:r>
          </w:p>
        </w:tc>
        <w:tc>
          <w:tcPr>
            <w:tcW w:w="4230" w:type="dxa"/>
            <w:shd w:val="clear" w:color="auto" w:fill="auto"/>
          </w:tcPr>
          <w:p w:rsidR="00A71B19" w:rsidRDefault="00A71B19" w:rsidP="00D67858">
            <w:pPr>
              <w:spacing w:after="0"/>
              <w:jc w:val="both"/>
              <w:rPr>
                <w:lang w:val="en-US"/>
              </w:rPr>
            </w:pPr>
          </w:p>
          <w:p w:rsidR="00D77CE6" w:rsidRDefault="00D77CE6" w:rsidP="00D67858">
            <w:pPr>
              <w:spacing w:after="0"/>
              <w:jc w:val="both"/>
              <w:rPr>
                <w:lang w:val="en-US"/>
              </w:rPr>
            </w:pPr>
          </w:p>
          <w:p w:rsidR="00D77CE6" w:rsidRDefault="00D77CE6" w:rsidP="00D67858">
            <w:pPr>
              <w:spacing w:after="0"/>
              <w:jc w:val="both"/>
              <w:rPr>
                <w:lang w:val="en-US"/>
              </w:rPr>
            </w:pPr>
          </w:p>
          <w:p w:rsidR="00D77CE6" w:rsidRDefault="00D77CE6" w:rsidP="00D67858">
            <w:pPr>
              <w:spacing w:after="0"/>
              <w:jc w:val="both"/>
              <w:rPr>
                <w:lang w:val="en-US"/>
              </w:rPr>
            </w:pPr>
          </w:p>
          <w:p w:rsidR="00D77CE6" w:rsidRDefault="00D77CE6" w:rsidP="00D67858">
            <w:pPr>
              <w:spacing w:after="0"/>
              <w:jc w:val="both"/>
              <w:rPr>
                <w:lang w:val="en-US"/>
              </w:rPr>
            </w:pPr>
          </w:p>
          <w:p w:rsidR="00D77CE6" w:rsidRPr="00A71B19" w:rsidRDefault="00D77CE6" w:rsidP="00D67858">
            <w:pPr>
              <w:spacing w:after="0"/>
              <w:jc w:val="both"/>
              <w:rPr>
                <w:lang w:val="en-US"/>
              </w:rPr>
            </w:pPr>
          </w:p>
          <w:p w:rsidR="00A71B19" w:rsidRPr="00D77CE6" w:rsidRDefault="00A71B19" w:rsidP="00D77CE6">
            <w:pPr>
              <w:jc w:val="both"/>
              <w:rPr>
                <w:lang w:val="en-US"/>
              </w:rPr>
            </w:pPr>
          </w:p>
        </w:tc>
      </w:tr>
      <w:tr w:rsidR="00A71B19" w:rsidRPr="00A71B19" w:rsidTr="00FE6795">
        <w:trPr>
          <w:trHeight w:val="284"/>
        </w:trPr>
        <w:tc>
          <w:tcPr>
            <w:tcW w:w="1710" w:type="dxa"/>
            <w:shd w:val="clear" w:color="auto" w:fill="D9D9D9" w:themeFill="background1" w:themeFillShade="D9"/>
            <w:noWrap/>
            <w:hideMark/>
          </w:tcPr>
          <w:p w:rsidR="00A71B19" w:rsidRPr="00A71B19" w:rsidRDefault="00A71B19" w:rsidP="00D67858">
            <w:pPr>
              <w:spacing w:after="0"/>
              <w:rPr>
                <w:rFonts w:eastAsia="Times New Roman" w:cs="Times New Roman"/>
                <w:b/>
                <w:bCs/>
                <w:color w:val="000000"/>
                <w:lang w:eastAsia="de-DE"/>
              </w:rPr>
            </w:pPr>
            <w:r w:rsidRPr="00A71B19">
              <w:rPr>
                <w:rFonts w:eastAsia="Times New Roman" w:cs="Times New Roman"/>
                <w:b/>
                <w:bCs/>
                <w:color w:val="000000"/>
                <w:lang w:eastAsia="de-DE"/>
              </w:rPr>
              <w:lastRenderedPageBreak/>
              <w:t>Access to information</w:t>
            </w:r>
          </w:p>
        </w:tc>
        <w:tc>
          <w:tcPr>
            <w:tcW w:w="3603" w:type="dxa"/>
            <w:shd w:val="clear" w:color="auto" w:fill="F2F2F2" w:themeFill="background1" w:themeFillShade="F2"/>
          </w:tcPr>
          <w:p w:rsidR="00A71B19" w:rsidRPr="00A71B19" w:rsidRDefault="00A71B19" w:rsidP="00367AB8">
            <w:pPr>
              <w:spacing w:after="0"/>
              <w:rPr>
                <w:rFonts w:eastAsia="Times New Roman" w:cs="Times New Roman"/>
                <w:b/>
                <w:bCs/>
                <w:color w:val="000000"/>
                <w:lang w:eastAsia="de-DE"/>
              </w:rPr>
            </w:pPr>
          </w:p>
        </w:tc>
        <w:tc>
          <w:tcPr>
            <w:tcW w:w="4587" w:type="dxa"/>
          </w:tcPr>
          <w:p w:rsidR="00A71B19" w:rsidRPr="00A71B19" w:rsidRDefault="00A71B19" w:rsidP="00A71B19">
            <w:pPr>
              <w:pStyle w:val="ListParagraph"/>
              <w:numPr>
                <w:ilvl w:val="0"/>
                <w:numId w:val="10"/>
              </w:numPr>
              <w:jc w:val="both"/>
              <w:rPr>
                <w:rFonts w:ascii="Calibri" w:eastAsia="Times New Roman" w:hAnsi="Calibri" w:cs="Times New Roman"/>
                <w:b/>
                <w:bCs/>
                <w:color w:val="000000"/>
                <w:lang w:val="en-US" w:eastAsia="de-DE"/>
              </w:rPr>
            </w:pPr>
            <w:r w:rsidRPr="00A71B19">
              <w:rPr>
                <w:rFonts w:ascii="Calibri" w:eastAsia="Times New Roman" w:hAnsi="Calibri" w:cs="Times New Roman"/>
                <w:b/>
                <w:bCs/>
                <w:color w:val="000000"/>
                <w:lang w:val="en-US" w:eastAsia="de-DE"/>
              </w:rPr>
              <w:t>For the school community</w:t>
            </w:r>
          </w:p>
          <w:p w:rsidR="00A71B19" w:rsidRPr="00A71B19" w:rsidRDefault="00A71B19" w:rsidP="00367AB8">
            <w:pPr>
              <w:spacing w:after="0"/>
              <w:ind w:left="720"/>
              <w:jc w:val="both"/>
              <w:rPr>
                <w:rFonts w:ascii="Calibri" w:eastAsia="Times New Roman" w:hAnsi="Calibri" w:cs="Times New Roman"/>
                <w:bCs/>
                <w:color w:val="000000"/>
                <w:lang w:val="en-US" w:eastAsia="de-DE"/>
              </w:rPr>
            </w:pPr>
            <w:r w:rsidRPr="00A71B19">
              <w:rPr>
                <w:rFonts w:ascii="Calibri" w:eastAsia="Times New Roman" w:hAnsi="Calibri" w:cs="Times New Roman"/>
                <w:bCs/>
                <w:color w:val="000000"/>
                <w:lang w:val="en-US" w:eastAsia="de-DE"/>
              </w:rPr>
              <w:t xml:space="preserve">Schools should proactively inform the school community about every aspect of diversity, including different types of impairments, inclusive approaches and the work of assistants. </w:t>
            </w:r>
          </w:p>
          <w:p w:rsidR="00A71B19" w:rsidRPr="00A71B19" w:rsidRDefault="00A71B19" w:rsidP="00A71B19">
            <w:pPr>
              <w:pStyle w:val="ListParagraph"/>
              <w:numPr>
                <w:ilvl w:val="0"/>
                <w:numId w:val="10"/>
              </w:numPr>
              <w:jc w:val="both"/>
              <w:rPr>
                <w:rFonts w:ascii="Calibri" w:eastAsia="Times New Roman" w:hAnsi="Calibri" w:cs="Times New Roman"/>
                <w:b/>
                <w:bCs/>
                <w:color w:val="000000"/>
                <w:lang w:val="en-US" w:eastAsia="de-DE"/>
              </w:rPr>
            </w:pPr>
            <w:r w:rsidRPr="00A71B19">
              <w:rPr>
                <w:rFonts w:ascii="Calibri" w:eastAsia="Times New Roman" w:hAnsi="Calibri" w:cs="Times New Roman"/>
                <w:b/>
                <w:bCs/>
                <w:color w:val="000000"/>
                <w:lang w:val="en-US" w:eastAsia="de-DE"/>
              </w:rPr>
              <w:t>For assistants</w:t>
            </w:r>
          </w:p>
          <w:p w:rsidR="00A71B19" w:rsidRPr="00A71B19" w:rsidRDefault="00A71B19" w:rsidP="00367AB8">
            <w:pPr>
              <w:spacing w:after="0"/>
              <w:ind w:left="720"/>
              <w:jc w:val="both"/>
              <w:rPr>
                <w:rFonts w:ascii="Calibri" w:eastAsia="Times New Roman" w:hAnsi="Calibri" w:cs="Times New Roman"/>
                <w:bCs/>
                <w:color w:val="000000"/>
                <w:lang w:val="en-US" w:eastAsia="de-DE"/>
              </w:rPr>
            </w:pPr>
            <w:r w:rsidRPr="00A71B19">
              <w:rPr>
                <w:rFonts w:ascii="Calibri" w:eastAsia="Times New Roman" w:hAnsi="Calibri" w:cs="Times New Roman"/>
                <w:bCs/>
                <w:color w:val="000000"/>
                <w:lang w:val="en-US" w:eastAsia="de-DE"/>
              </w:rPr>
              <w:t xml:space="preserve">Assistants should have access to all information relevant to educational, personal and social issues about pupils in class, and treat this as confidential as appropriate.  </w:t>
            </w:r>
          </w:p>
        </w:tc>
        <w:tc>
          <w:tcPr>
            <w:tcW w:w="4230" w:type="dxa"/>
            <w:shd w:val="clear" w:color="auto" w:fill="auto"/>
          </w:tcPr>
          <w:p w:rsidR="00A71B19" w:rsidRDefault="00A71B19" w:rsidP="00CC3B99">
            <w:pPr>
              <w:spacing w:after="0"/>
              <w:ind w:left="720"/>
              <w:jc w:val="both"/>
              <w:rPr>
                <w:rFonts w:ascii="Calibri" w:eastAsia="Times New Roman" w:hAnsi="Calibri" w:cs="Times New Roman"/>
                <w:bCs/>
                <w:color w:val="000000"/>
                <w:lang w:val="en-US" w:eastAsia="de-DE"/>
              </w:rPr>
            </w:pPr>
          </w:p>
          <w:p w:rsidR="00D77CE6" w:rsidRPr="00A71B19" w:rsidRDefault="00D77CE6" w:rsidP="00CC3B99">
            <w:pPr>
              <w:spacing w:after="0"/>
              <w:ind w:left="720"/>
              <w:jc w:val="both"/>
              <w:rPr>
                <w:rFonts w:ascii="Calibri" w:eastAsia="Times New Roman" w:hAnsi="Calibri" w:cs="Times New Roman"/>
                <w:bCs/>
                <w:color w:val="000000"/>
                <w:lang w:val="en-US" w:eastAsia="de-DE"/>
              </w:rPr>
            </w:pPr>
          </w:p>
        </w:tc>
      </w:tr>
      <w:tr w:rsidR="00A71B19" w:rsidRPr="00A71B19" w:rsidTr="00FE6795">
        <w:trPr>
          <w:trHeight w:val="284"/>
        </w:trPr>
        <w:tc>
          <w:tcPr>
            <w:tcW w:w="1710" w:type="dxa"/>
            <w:shd w:val="clear" w:color="auto" w:fill="D9D9D9" w:themeFill="background1" w:themeFillShade="D9"/>
            <w:hideMark/>
          </w:tcPr>
          <w:p w:rsidR="00A71B19" w:rsidRPr="00A71B19" w:rsidRDefault="00A71B19" w:rsidP="00D67858">
            <w:pPr>
              <w:spacing w:after="0"/>
              <w:rPr>
                <w:rFonts w:eastAsia="Times New Roman" w:cs="Times New Roman"/>
                <w:b/>
                <w:bCs/>
                <w:color w:val="000000"/>
                <w:lang w:eastAsia="de-DE"/>
              </w:rPr>
            </w:pPr>
            <w:r w:rsidRPr="00A71B19">
              <w:rPr>
                <w:rFonts w:eastAsia="Times New Roman" w:cs="Times New Roman"/>
                <w:b/>
                <w:bCs/>
                <w:color w:val="000000"/>
                <w:lang w:eastAsia="de-DE"/>
              </w:rPr>
              <w:t xml:space="preserve">Roles and responsibilities </w:t>
            </w:r>
            <w:r w:rsidRPr="00A71B19">
              <w:rPr>
                <w:rFonts w:eastAsia="Times New Roman" w:cs="Times New Roman"/>
                <w:b/>
                <w:bCs/>
                <w:color w:val="000000"/>
                <w:lang w:eastAsia="de-DE"/>
              </w:rPr>
              <w:br/>
            </w:r>
          </w:p>
        </w:tc>
        <w:tc>
          <w:tcPr>
            <w:tcW w:w="3603" w:type="dxa"/>
            <w:shd w:val="clear" w:color="auto" w:fill="F2F2F2" w:themeFill="background1" w:themeFillShade="F2"/>
          </w:tcPr>
          <w:p w:rsidR="00A71B19" w:rsidRPr="00A71B19" w:rsidRDefault="00A71B19" w:rsidP="00367AB8">
            <w:pPr>
              <w:spacing w:after="0"/>
              <w:rPr>
                <w:rFonts w:eastAsia="Times New Roman" w:cs="Times New Roman"/>
                <w:b/>
                <w:bCs/>
                <w:color w:val="000000"/>
                <w:lang w:eastAsia="de-DE"/>
              </w:rPr>
            </w:pPr>
            <w:r w:rsidRPr="00A71B19">
              <w:rPr>
                <w:rFonts w:eastAsia="Times New Roman" w:cs="Times New Roman"/>
                <w:b/>
                <w:bCs/>
                <w:color w:val="000000"/>
                <w:lang w:eastAsia="de-DE"/>
              </w:rPr>
              <w:t>General Comment no.4, Section V, para.63(d)</w:t>
            </w:r>
          </w:p>
          <w:p w:rsidR="00A71B19" w:rsidRPr="00A71B19" w:rsidRDefault="00A71B19" w:rsidP="00367AB8">
            <w:pPr>
              <w:spacing w:after="0"/>
              <w:rPr>
                <w:rFonts w:eastAsia="Times New Roman" w:cs="Times New Roman"/>
                <w:b/>
                <w:bCs/>
                <w:color w:val="000000"/>
                <w:lang w:eastAsia="de-DE"/>
              </w:rPr>
            </w:pPr>
            <w:r w:rsidRPr="00A71B19">
              <w:t>A guarantee for students with and without disabilities to the same right to access inclusive learning opportunities within the general education system and, for individual learners, to the necessary support services at all levels;</w:t>
            </w:r>
          </w:p>
        </w:tc>
        <w:tc>
          <w:tcPr>
            <w:tcW w:w="4587" w:type="dxa"/>
          </w:tcPr>
          <w:p w:rsidR="00A71B19" w:rsidRPr="00A71B19" w:rsidRDefault="00A71B19" w:rsidP="00A71B19">
            <w:pPr>
              <w:pStyle w:val="ListParagraph"/>
              <w:numPr>
                <w:ilvl w:val="0"/>
                <w:numId w:val="10"/>
              </w:numPr>
              <w:jc w:val="both"/>
              <w:rPr>
                <w:rFonts w:ascii="Calibri" w:eastAsia="Times New Roman" w:hAnsi="Calibri" w:cs="Times New Roman"/>
                <w:b/>
                <w:bCs/>
                <w:lang w:val="en-US" w:eastAsia="de-DE"/>
              </w:rPr>
            </w:pPr>
            <w:r w:rsidRPr="00A71B19">
              <w:rPr>
                <w:rFonts w:ascii="Calibri" w:eastAsia="Times New Roman" w:hAnsi="Calibri" w:cs="Times New Roman"/>
                <w:b/>
                <w:bCs/>
                <w:lang w:val="en-US" w:eastAsia="de-DE"/>
              </w:rPr>
              <w:t>Support for all</w:t>
            </w:r>
          </w:p>
          <w:p w:rsidR="00A71B19" w:rsidRPr="00A71B19" w:rsidRDefault="00A71B19" w:rsidP="00367AB8">
            <w:pPr>
              <w:spacing w:after="0"/>
              <w:ind w:left="720"/>
              <w:jc w:val="both"/>
              <w:rPr>
                <w:rFonts w:ascii="Calibri" w:eastAsia="Times New Roman" w:hAnsi="Calibri" w:cs="Times New Roman"/>
                <w:bCs/>
                <w:lang w:val="en-US" w:eastAsia="de-DE"/>
              </w:rPr>
            </w:pPr>
            <w:r w:rsidRPr="00A71B19">
              <w:rPr>
                <w:rFonts w:ascii="Calibri" w:eastAsia="Times New Roman" w:hAnsi="Calibri" w:cs="Times New Roman"/>
                <w:bCs/>
                <w:lang w:val="en-US" w:eastAsia="de-DE"/>
              </w:rPr>
              <w:t xml:space="preserve">Assistants in every school should be enabled to work in an autonomous and flexible way, according to the needs of the school community in general and of every pupil in particular. This guarantees that the character of the assistance service can develop in relation to the development of each pupil (e.g. from direct support at the beginning to enabling social interaction through working with all pupils later). </w:t>
            </w:r>
          </w:p>
          <w:p w:rsidR="00A71B19" w:rsidRPr="00A71B19" w:rsidRDefault="00A71B19" w:rsidP="00367AB8">
            <w:pPr>
              <w:spacing w:after="0"/>
              <w:ind w:left="720"/>
              <w:jc w:val="both"/>
              <w:rPr>
                <w:rFonts w:ascii="Calibri" w:eastAsia="Times New Roman" w:hAnsi="Calibri" w:cs="Times New Roman"/>
                <w:bCs/>
                <w:lang w:val="en-US" w:eastAsia="de-DE"/>
              </w:rPr>
            </w:pPr>
            <w:r w:rsidRPr="00A71B19">
              <w:rPr>
                <w:rFonts w:ascii="Calibri" w:eastAsia="Times New Roman" w:hAnsi="Calibri" w:cs="Times New Roman"/>
                <w:bCs/>
                <w:lang w:val="en-US" w:eastAsia="de-DE"/>
              </w:rPr>
              <w:lastRenderedPageBreak/>
              <w:t xml:space="preserve">The distribution of resources within a school should be set up in a collaborative process where all stakeholders (parents, pupils, teachers, assistants) are able to have their voice heard. </w:t>
            </w:r>
            <w:r w:rsidRPr="00A71B19" w:rsidDel="00A5029B">
              <w:rPr>
                <w:rFonts w:ascii="Calibri" w:eastAsia="Times New Roman" w:hAnsi="Calibri" w:cs="Times New Roman"/>
                <w:bCs/>
                <w:lang w:val="en-US" w:eastAsia="de-DE"/>
              </w:rPr>
              <w:t xml:space="preserve"> </w:t>
            </w:r>
            <w:r w:rsidRPr="00A71B19">
              <w:rPr>
                <w:rFonts w:ascii="Calibri" w:eastAsia="Times New Roman" w:hAnsi="Calibri" w:cs="Times New Roman"/>
                <w:bCs/>
                <w:lang w:val="en-US" w:eastAsia="de-DE"/>
              </w:rPr>
              <w:t xml:space="preserve"> </w:t>
            </w:r>
          </w:p>
          <w:p w:rsidR="00A71B19" w:rsidRPr="00A71B19" w:rsidRDefault="00A71B19" w:rsidP="00A71B19">
            <w:pPr>
              <w:pStyle w:val="ListParagraph"/>
              <w:numPr>
                <w:ilvl w:val="0"/>
                <w:numId w:val="10"/>
              </w:numPr>
              <w:jc w:val="both"/>
              <w:rPr>
                <w:rFonts w:ascii="Calibri" w:eastAsia="Times New Roman" w:hAnsi="Calibri" w:cs="Times New Roman"/>
                <w:b/>
                <w:bCs/>
                <w:color w:val="000000"/>
                <w:lang w:val="en-US" w:eastAsia="de-DE"/>
              </w:rPr>
            </w:pPr>
            <w:r w:rsidRPr="00A71B19">
              <w:rPr>
                <w:rFonts w:ascii="Calibri" w:eastAsia="Times New Roman" w:hAnsi="Calibri" w:cs="Times New Roman"/>
                <w:b/>
                <w:bCs/>
                <w:color w:val="000000"/>
                <w:lang w:val="en-US" w:eastAsia="de-DE"/>
              </w:rPr>
              <w:t>Breadth of responsibility</w:t>
            </w:r>
          </w:p>
          <w:p w:rsidR="00A71B19" w:rsidRPr="00A71B19" w:rsidRDefault="00A71B19" w:rsidP="00367AB8">
            <w:pPr>
              <w:spacing w:after="0"/>
              <w:ind w:left="720"/>
              <w:jc w:val="both"/>
              <w:rPr>
                <w:rFonts w:ascii="Calibri" w:eastAsia="Times New Roman" w:hAnsi="Calibri" w:cs="Times New Roman"/>
                <w:bCs/>
                <w:color w:val="000000"/>
                <w:lang w:val="en-US" w:eastAsia="de-DE"/>
              </w:rPr>
            </w:pPr>
            <w:r w:rsidRPr="00A71B19">
              <w:rPr>
                <w:rFonts w:ascii="Calibri" w:eastAsia="Times New Roman" w:hAnsi="Calibri" w:cs="Times New Roman"/>
                <w:bCs/>
                <w:color w:val="000000"/>
                <w:lang w:val="en-US" w:eastAsia="de-DE"/>
              </w:rPr>
              <w:t xml:space="preserve">Assistants should support all activities offered or organized by schools, including leisure activities. The responsibilities of the assistants should be legally regulated and in accordance with their qualification.  </w:t>
            </w:r>
          </w:p>
          <w:p w:rsidR="00A71B19" w:rsidRPr="00A71B19" w:rsidRDefault="00A71B19" w:rsidP="00A71B19">
            <w:pPr>
              <w:pStyle w:val="ListParagraph"/>
              <w:numPr>
                <w:ilvl w:val="0"/>
                <w:numId w:val="10"/>
              </w:numPr>
              <w:jc w:val="both"/>
              <w:rPr>
                <w:rFonts w:ascii="Calibri" w:eastAsia="Times New Roman" w:hAnsi="Calibri" w:cs="Times New Roman"/>
                <w:b/>
                <w:bCs/>
                <w:color w:val="000000"/>
                <w:lang w:val="en-US" w:eastAsia="de-DE"/>
              </w:rPr>
            </w:pPr>
            <w:r w:rsidRPr="00A71B19">
              <w:rPr>
                <w:rFonts w:ascii="Calibri" w:eastAsia="Times New Roman" w:hAnsi="Calibri" w:cs="Times New Roman"/>
                <w:b/>
                <w:bCs/>
                <w:color w:val="000000"/>
                <w:lang w:val="en-US" w:eastAsia="de-DE"/>
              </w:rPr>
              <w:t>Distribution of responsibility</w:t>
            </w:r>
          </w:p>
          <w:p w:rsidR="00A71B19" w:rsidRPr="00A71B19" w:rsidRDefault="00A71B19" w:rsidP="00367AB8">
            <w:pPr>
              <w:spacing w:after="0"/>
              <w:ind w:left="720"/>
              <w:jc w:val="both"/>
              <w:rPr>
                <w:rFonts w:ascii="Calibri" w:eastAsia="Times New Roman" w:hAnsi="Calibri" w:cs="Times New Roman"/>
                <w:bCs/>
                <w:color w:val="000000"/>
                <w:lang w:val="en-US" w:eastAsia="de-DE"/>
              </w:rPr>
            </w:pPr>
            <w:r w:rsidRPr="00A71B19">
              <w:rPr>
                <w:rFonts w:ascii="Calibri" w:eastAsia="Times New Roman" w:hAnsi="Calibri" w:cs="Times New Roman"/>
                <w:bCs/>
                <w:color w:val="000000"/>
                <w:lang w:val="en-US" w:eastAsia="de-DE"/>
              </w:rPr>
              <w:t xml:space="preserve">Overall responsibility for pupils’ learning remains with their teacher at all times. </w:t>
            </w:r>
          </w:p>
        </w:tc>
        <w:tc>
          <w:tcPr>
            <w:tcW w:w="4230" w:type="dxa"/>
            <w:shd w:val="clear" w:color="auto" w:fill="auto"/>
          </w:tcPr>
          <w:p w:rsidR="00D77CE6" w:rsidRDefault="00D77CE6" w:rsidP="00D67858">
            <w:pPr>
              <w:spacing w:after="0"/>
              <w:ind w:left="720"/>
              <w:jc w:val="both"/>
              <w:rPr>
                <w:rFonts w:ascii="Calibri" w:eastAsia="Times New Roman" w:hAnsi="Calibri" w:cs="Times New Roman"/>
                <w:bCs/>
                <w:lang w:val="en-US" w:eastAsia="de-DE"/>
              </w:rPr>
            </w:pPr>
          </w:p>
          <w:p w:rsidR="007C0739" w:rsidRDefault="007C0739" w:rsidP="00D67858">
            <w:pPr>
              <w:spacing w:after="0"/>
              <w:ind w:left="720"/>
              <w:jc w:val="both"/>
              <w:rPr>
                <w:rFonts w:ascii="Calibri" w:eastAsia="Times New Roman" w:hAnsi="Calibri" w:cs="Times New Roman"/>
                <w:bCs/>
                <w:lang w:val="en-US" w:eastAsia="de-DE"/>
              </w:rPr>
            </w:pPr>
          </w:p>
          <w:p w:rsidR="007C0739" w:rsidRDefault="007C0739" w:rsidP="00D67858">
            <w:pPr>
              <w:spacing w:after="0"/>
              <w:ind w:left="720"/>
              <w:jc w:val="both"/>
              <w:rPr>
                <w:rFonts w:ascii="Calibri" w:eastAsia="Times New Roman" w:hAnsi="Calibri" w:cs="Times New Roman"/>
                <w:bCs/>
                <w:lang w:val="en-US" w:eastAsia="de-DE"/>
              </w:rPr>
            </w:pPr>
          </w:p>
          <w:p w:rsidR="007C0739" w:rsidRDefault="007C0739" w:rsidP="00D67858">
            <w:pPr>
              <w:spacing w:after="0"/>
              <w:ind w:left="720"/>
              <w:jc w:val="both"/>
              <w:rPr>
                <w:rFonts w:ascii="Calibri" w:eastAsia="Times New Roman" w:hAnsi="Calibri" w:cs="Times New Roman"/>
                <w:bCs/>
                <w:lang w:val="en-US" w:eastAsia="de-DE"/>
              </w:rPr>
            </w:pPr>
          </w:p>
          <w:p w:rsidR="007C0739" w:rsidRDefault="007C0739" w:rsidP="00D67858">
            <w:pPr>
              <w:spacing w:after="0"/>
              <w:ind w:left="720"/>
              <w:jc w:val="both"/>
              <w:rPr>
                <w:rFonts w:ascii="Calibri" w:eastAsia="Times New Roman" w:hAnsi="Calibri" w:cs="Times New Roman"/>
                <w:bCs/>
                <w:lang w:val="en-US" w:eastAsia="de-DE"/>
              </w:rPr>
            </w:pPr>
          </w:p>
          <w:p w:rsidR="007C0739" w:rsidRDefault="007C0739" w:rsidP="00D67858">
            <w:pPr>
              <w:spacing w:after="0"/>
              <w:ind w:left="720"/>
              <w:jc w:val="both"/>
              <w:rPr>
                <w:rFonts w:ascii="Calibri" w:eastAsia="Times New Roman" w:hAnsi="Calibri" w:cs="Times New Roman"/>
                <w:bCs/>
                <w:lang w:val="en-US" w:eastAsia="de-DE"/>
              </w:rPr>
            </w:pPr>
          </w:p>
          <w:p w:rsidR="007C0739" w:rsidRDefault="007C0739" w:rsidP="00D67858">
            <w:pPr>
              <w:spacing w:after="0"/>
              <w:ind w:left="720"/>
              <w:jc w:val="both"/>
              <w:rPr>
                <w:rFonts w:ascii="Calibri" w:eastAsia="Times New Roman" w:hAnsi="Calibri" w:cs="Times New Roman"/>
                <w:bCs/>
                <w:lang w:val="en-US" w:eastAsia="de-DE"/>
              </w:rPr>
            </w:pPr>
          </w:p>
          <w:p w:rsidR="007C0739" w:rsidRDefault="007C0739" w:rsidP="00D67858">
            <w:pPr>
              <w:spacing w:after="0"/>
              <w:ind w:left="720"/>
              <w:jc w:val="both"/>
              <w:rPr>
                <w:rFonts w:ascii="Calibri" w:eastAsia="Times New Roman" w:hAnsi="Calibri" w:cs="Times New Roman"/>
                <w:bCs/>
                <w:lang w:val="en-US" w:eastAsia="de-DE"/>
              </w:rPr>
            </w:pPr>
          </w:p>
          <w:p w:rsidR="007C0739" w:rsidRDefault="007C0739" w:rsidP="00D67858">
            <w:pPr>
              <w:spacing w:after="0"/>
              <w:ind w:left="720"/>
              <w:jc w:val="both"/>
              <w:rPr>
                <w:rFonts w:ascii="Calibri" w:eastAsia="Times New Roman" w:hAnsi="Calibri" w:cs="Times New Roman"/>
                <w:bCs/>
                <w:lang w:val="en-US" w:eastAsia="de-DE"/>
              </w:rPr>
            </w:pPr>
          </w:p>
          <w:p w:rsidR="007C0739" w:rsidRDefault="007C0739" w:rsidP="00D67858">
            <w:pPr>
              <w:spacing w:after="0"/>
              <w:ind w:left="720"/>
              <w:jc w:val="both"/>
              <w:rPr>
                <w:rFonts w:ascii="Calibri" w:eastAsia="Times New Roman" w:hAnsi="Calibri" w:cs="Times New Roman"/>
                <w:bCs/>
                <w:lang w:val="en-US" w:eastAsia="de-DE"/>
              </w:rPr>
            </w:pPr>
          </w:p>
          <w:p w:rsidR="007C0739" w:rsidRDefault="007C0739" w:rsidP="00D67858">
            <w:pPr>
              <w:spacing w:after="0"/>
              <w:ind w:left="720"/>
              <w:jc w:val="both"/>
              <w:rPr>
                <w:rFonts w:ascii="Calibri" w:eastAsia="Times New Roman" w:hAnsi="Calibri" w:cs="Times New Roman"/>
                <w:bCs/>
                <w:lang w:val="en-US" w:eastAsia="de-DE"/>
              </w:rPr>
            </w:pPr>
          </w:p>
          <w:p w:rsidR="007C0739" w:rsidRDefault="007C0739" w:rsidP="00D67858">
            <w:pPr>
              <w:spacing w:after="0"/>
              <w:ind w:left="720"/>
              <w:jc w:val="both"/>
              <w:rPr>
                <w:rFonts w:ascii="Calibri" w:eastAsia="Times New Roman" w:hAnsi="Calibri" w:cs="Times New Roman"/>
                <w:bCs/>
                <w:lang w:val="en-US" w:eastAsia="de-DE"/>
              </w:rPr>
            </w:pPr>
          </w:p>
          <w:p w:rsidR="007C0739" w:rsidRDefault="007C0739" w:rsidP="00D67858">
            <w:pPr>
              <w:spacing w:after="0"/>
              <w:ind w:left="720"/>
              <w:jc w:val="both"/>
              <w:rPr>
                <w:rFonts w:ascii="Calibri" w:eastAsia="Times New Roman" w:hAnsi="Calibri" w:cs="Times New Roman"/>
                <w:bCs/>
                <w:lang w:val="en-US" w:eastAsia="de-DE"/>
              </w:rPr>
            </w:pPr>
          </w:p>
          <w:p w:rsidR="007C0739" w:rsidRDefault="007C0739" w:rsidP="00D67858">
            <w:pPr>
              <w:spacing w:after="0"/>
              <w:ind w:left="720"/>
              <w:jc w:val="both"/>
              <w:rPr>
                <w:rFonts w:ascii="Calibri" w:eastAsia="Times New Roman" w:hAnsi="Calibri" w:cs="Times New Roman"/>
                <w:bCs/>
                <w:lang w:val="en-US" w:eastAsia="de-DE"/>
              </w:rPr>
            </w:pPr>
          </w:p>
          <w:p w:rsidR="007C0739" w:rsidRDefault="007C0739" w:rsidP="00D67858">
            <w:pPr>
              <w:spacing w:after="0"/>
              <w:ind w:left="720"/>
              <w:jc w:val="both"/>
              <w:rPr>
                <w:rFonts w:ascii="Calibri" w:eastAsia="Times New Roman" w:hAnsi="Calibri" w:cs="Times New Roman"/>
                <w:bCs/>
                <w:lang w:val="en-US" w:eastAsia="de-DE"/>
              </w:rPr>
            </w:pPr>
          </w:p>
          <w:p w:rsidR="007C0739" w:rsidRDefault="007C0739" w:rsidP="00D67858">
            <w:pPr>
              <w:spacing w:after="0"/>
              <w:ind w:left="720"/>
              <w:jc w:val="both"/>
              <w:rPr>
                <w:rFonts w:ascii="Calibri" w:eastAsia="Times New Roman" w:hAnsi="Calibri" w:cs="Times New Roman"/>
                <w:bCs/>
                <w:lang w:val="en-US" w:eastAsia="de-DE"/>
              </w:rPr>
            </w:pPr>
          </w:p>
          <w:p w:rsidR="007C0739" w:rsidRDefault="007C0739" w:rsidP="00D67858">
            <w:pPr>
              <w:spacing w:after="0"/>
              <w:ind w:left="720"/>
              <w:jc w:val="both"/>
              <w:rPr>
                <w:rFonts w:ascii="Calibri" w:eastAsia="Times New Roman" w:hAnsi="Calibri" w:cs="Times New Roman"/>
                <w:bCs/>
                <w:lang w:val="en-US" w:eastAsia="de-DE"/>
              </w:rPr>
            </w:pPr>
          </w:p>
          <w:p w:rsidR="007C0739" w:rsidRDefault="007C0739" w:rsidP="00D67858">
            <w:pPr>
              <w:spacing w:after="0"/>
              <w:ind w:left="720"/>
              <w:jc w:val="both"/>
              <w:rPr>
                <w:rFonts w:ascii="Calibri" w:eastAsia="Times New Roman" w:hAnsi="Calibri" w:cs="Times New Roman"/>
                <w:bCs/>
                <w:lang w:val="en-US" w:eastAsia="de-DE"/>
              </w:rPr>
            </w:pPr>
          </w:p>
          <w:p w:rsidR="007C0739" w:rsidRDefault="007C0739" w:rsidP="00D67858">
            <w:pPr>
              <w:spacing w:after="0"/>
              <w:ind w:left="720"/>
              <w:jc w:val="both"/>
              <w:rPr>
                <w:rFonts w:ascii="Calibri" w:eastAsia="Times New Roman" w:hAnsi="Calibri" w:cs="Times New Roman"/>
                <w:bCs/>
                <w:lang w:val="en-US" w:eastAsia="de-DE"/>
              </w:rPr>
            </w:pPr>
          </w:p>
          <w:p w:rsidR="007C0739" w:rsidRDefault="007C0739" w:rsidP="00D67858">
            <w:pPr>
              <w:spacing w:after="0"/>
              <w:ind w:left="720"/>
              <w:jc w:val="both"/>
              <w:rPr>
                <w:rFonts w:ascii="Calibri" w:eastAsia="Times New Roman" w:hAnsi="Calibri" w:cs="Times New Roman"/>
                <w:bCs/>
                <w:lang w:val="en-US" w:eastAsia="de-DE"/>
              </w:rPr>
            </w:pPr>
          </w:p>
          <w:p w:rsidR="007C0739" w:rsidRDefault="007C0739" w:rsidP="00D67858">
            <w:pPr>
              <w:spacing w:after="0"/>
              <w:ind w:left="720"/>
              <w:jc w:val="both"/>
              <w:rPr>
                <w:rFonts w:ascii="Calibri" w:eastAsia="Times New Roman" w:hAnsi="Calibri" w:cs="Times New Roman"/>
                <w:bCs/>
                <w:lang w:val="en-US" w:eastAsia="de-DE"/>
              </w:rPr>
            </w:pPr>
          </w:p>
          <w:p w:rsidR="007C0739" w:rsidRDefault="007C0739" w:rsidP="00D67858">
            <w:pPr>
              <w:spacing w:after="0"/>
              <w:ind w:left="720"/>
              <w:jc w:val="both"/>
              <w:rPr>
                <w:rFonts w:ascii="Calibri" w:eastAsia="Times New Roman" w:hAnsi="Calibri" w:cs="Times New Roman"/>
                <w:bCs/>
                <w:lang w:val="en-US" w:eastAsia="de-DE"/>
              </w:rPr>
            </w:pPr>
          </w:p>
          <w:p w:rsidR="007C0739" w:rsidRDefault="007C0739" w:rsidP="00D67858">
            <w:pPr>
              <w:spacing w:after="0"/>
              <w:ind w:left="720"/>
              <w:jc w:val="both"/>
              <w:rPr>
                <w:rFonts w:ascii="Calibri" w:eastAsia="Times New Roman" w:hAnsi="Calibri" w:cs="Times New Roman"/>
                <w:bCs/>
                <w:lang w:val="en-US" w:eastAsia="de-DE"/>
              </w:rPr>
            </w:pPr>
          </w:p>
          <w:p w:rsidR="007C0739" w:rsidRDefault="007C0739" w:rsidP="007C0739">
            <w:pPr>
              <w:spacing w:after="0"/>
              <w:jc w:val="both"/>
              <w:rPr>
                <w:rFonts w:ascii="Calibri" w:eastAsia="Times New Roman" w:hAnsi="Calibri" w:cs="Times New Roman"/>
                <w:bCs/>
                <w:lang w:val="en-US" w:eastAsia="de-DE"/>
              </w:rPr>
            </w:pPr>
          </w:p>
          <w:p w:rsidR="00D77CE6" w:rsidRPr="00A71B19" w:rsidRDefault="00660C18" w:rsidP="00596A06">
            <w:pPr>
              <w:spacing w:after="0"/>
              <w:jc w:val="both"/>
              <w:rPr>
                <w:rFonts w:ascii="Calibri" w:eastAsia="Times New Roman" w:hAnsi="Calibri" w:cs="Times New Roman"/>
                <w:bCs/>
                <w:color w:val="000000"/>
                <w:lang w:val="en-US" w:eastAsia="de-DE"/>
              </w:rPr>
            </w:pPr>
            <w:r>
              <w:rPr>
                <w:rFonts w:ascii="Calibri" w:eastAsia="Times New Roman" w:hAnsi="Calibri" w:cs="Times New Roman"/>
                <w:bCs/>
                <w:lang w:val="en-US" w:eastAsia="de-DE"/>
              </w:rPr>
              <w:t xml:space="preserve">The SEND Code of Practice confirms that </w:t>
            </w:r>
            <w:r w:rsidR="007C0739">
              <w:t>t</w:t>
            </w:r>
            <w:r>
              <w:t>eachers are responsible and accountable for the progress and developme</w:t>
            </w:r>
            <w:r w:rsidR="00596A06">
              <w:t xml:space="preserve">nt of the pupils in their class; </w:t>
            </w:r>
            <w:r w:rsidR="007C0739">
              <w:t>anecdotal evidence suggest</w:t>
            </w:r>
            <w:r w:rsidR="00596A06">
              <w:t>s</w:t>
            </w:r>
            <w:r w:rsidR="007C0739">
              <w:t xml:space="preserve"> that this responsibility continues to be shared with teaching assistants in some schools.</w:t>
            </w:r>
          </w:p>
        </w:tc>
      </w:tr>
      <w:tr w:rsidR="00A71B19" w:rsidRPr="00A71B19" w:rsidTr="00FE6795">
        <w:trPr>
          <w:trHeight w:val="284"/>
        </w:trPr>
        <w:tc>
          <w:tcPr>
            <w:tcW w:w="1710" w:type="dxa"/>
            <w:shd w:val="clear" w:color="auto" w:fill="D9D9D9" w:themeFill="background1" w:themeFillShade="D9"/>
            <w:noWrap/>
            <w:hideMark/>
          </w:tcPr>
          <w:p w:rsidR="00A71B19" w:rsidRPr="00A71B19" w:rsidRDefault="00A71B19" w:rsidP="00D67858">
            <w:pPr>
              <w:spacing w:after="0"/>
              <w:rPr>
                <w:rFonts w:eastAsia="Times New Roman" w:cs="Times New Roman"/>
                <w:b/>
                <w:bCs/>
                <w:color w:val="000000"/>
                <w:lang w:eastAsia="de-DE"/>
              </w:rPr>
            </w:pPr>
            <w:r w:rsidRPr="00A71B19">
              <w:rPr>
                <w:rFonts w:eastAsia="Times New Roman" w:cs="Times New Roman"/>
                <w:b/>
                <w:bCs/>
                <w:color w:val="000000"/>
                <w:lang w:eastAsia="de-DE"/>
              </w:rPr>
              <w:lastRenderedPageBreak/>
              <w:t>Support for assistants</w:t>
            </w:r>
          </w:p>
        </w:tc>
        <w:tc>
          <w:tcPr>
            <w:tcW w:w="3603" w:type="dxa"/>
            <w:shd w:val="clear" w:color="auto" w:fill="F2F2F2" w:themeFill="background1" w:themeFillShade="F2"/>
          </w:tcPr>
          <w:p w:rsidR="00A71B19" w:rsidRPr="00A71B19" w:rsidRDefault="00A71B19" w:rsidP="00367AB8">
            <w:pPr>
              <w:spacing w:after="0"/>
              <w:rPr>
                <w:rFonts w:eastAsia="Times New Roman" w:cs="Times New Roman"/>
                <w:b/>
                <w:bCs/>
                <w:color w:val="000000"/>
                <w:lang w:eastAsia="de-DE"/>
              </w:rPr>
            </w:pPr>
          </w:p>
        </w:tc>
        <w:tc>
          <w:tcPr>
            <w:tcW w:w="4587" w:type="dxa"/>
          </w:tcPr>
          <w:p w:rsidR="00A71B19" w:rsidRPr="00A71B19" w:rsidRDefault="00A71B19" w:rsidP="00A71B19">
            <w:pPr>
              <w:pStyle w:val="ListParagraph"/>
              <w:numPr>
                <w:ilvl w:val="0"/>
                <w:numId w:val="10"/>
              </w:numPr>
              <w:jc w:val="both"/>
              <w:rPr>
                <w:rFonts w:ascii="Calibri" w:eastAsia="Times New Roman" w:hAnsi="Calibri" w:cs="Times New Roman"/>
                <w:b/>
                <w:bCs/>
                <w:color w:val="000000"/>
                <w:lang w:val="en-US" w:eastAsia="de-DE"/>
              </w:rPr>
            </w:pPr>
            <w:r w:rsidRPr="00A71B19">
              <w:rPr>
                <w:rFonts w:ascii="Calibri" w:eastAsia="Times New Roman" w:hAnsi="Calibri" w:cs="Times New Roman"/>
                <w:b/>
                <w:bCs/>
                <w:color w:val="000000"/>
                <w:lang w:val="en-US" w:eastAsia="de-DE"/>
              </w:rPr>
              <w:t xml:space="preserve">Professional support </w:t>
            </w:r>
          </w:p>
          <w:p w:rsidR="00A71B19" w:rsidRPr="00A71B19" w:rsidRDefault="00A71B19" w:rsidP="00367AB8">
            <w:pPr>
              <w:spacing w:after="0"/>
              <w:ind w:left="720"/>
              <w:jc w:val="both"/>
              <w:rPr>
                <w:rFonts w:ascii="Calibri" w:eastAsia="Times New Roman" w:hAnsi="Calibri" w:cs="Times New Roman"/>
                <w:bCs/>
                <w:color w:val="000000"/>
                <w:lang w:val="en-US" w:eastAsia="de-DE"/>
              </w:rPr>
            </w:pPr>
            <w:r w:rsidRPr="00A71B19">
              <w:rPr>
                <w:rFonts w:ascii="Calibri" w:eastAsia="Times New Roman" w:hAnsi="Calibri" w:cs="Times New Roman"/>
                <w:bCs/>
                <w:color w:val="000000"/>
                <w:lang w:val="en-US" w:eastAsia="de-DE"/>
              </w:rPr>
              <w:t>Assistants should be supported by all parties involved – at their place of work and from the employer (if different).</w:t>
            </w:r>
          </w:p>
          <w:p w:rsidR="00A71B19" w:rsidRPr="00A71B19" w:rsidRDefault="00A71B19" w:rsidP="00367AB8">
            <w:pPr>
              <w:spacing w:after="0"/>
              <w:ind w:left="720"/>
              <w:jc w:val="both"/>
              <w:rPr>
                <w:rFonts w:ascii="Calibri" w:eastAsia="Times New Roman" w:hAnsi="Calibri" w:cs="Times New Roman"/>
                <w:bCs/>
                <w:color w:val="000000"/>
                <w:lang w:val="en-US" w:eastAsia="de-DE"/>
              </w:rPr>
            </w:pPr>
            <w:r w:rsidRPr="00A71B19">
              <w:rPr>
                <w:rFonts w:ascii="Calibri" w:eastAsia="Times New Roman" w:hAnsi="Calibri" w:cs="Times New Roman"/>
                <w:bCs/>
                <w:color w:val="000000"/>
                <w:lang w:val="en-US" w:eastAsia="de-DE"/>
              </w:rPr>
              <w:t>Professionalization of the job also means that constructive systems of appraisal need to be in place, e.g. supervision, coaching, critical friends, reflection, monitoring talks.</w:t>
            </w:r>
          </w:p>
        </w:tc>
        <w:tc>
          <w:tcPr>
            <w:tcW w:w="4230" w:type="dxa"/>
            <w:shd w:val="clear" w:color="auto" w:fill="auto"/>
          </w:tcPr>
          <w:p w:rsidR="00A71B19" w:rsidRDefault="00A71B19" w:rsidP="00D67858">
            <w:pPr>
              <w:spacing w:after="0"/>
              <w:ind w:left="720"/>
              <w:jc w:val="both"/>
              <w:rPr>
                <w:rFonts w:ascii="Calibri" w:eastAsia="Times New Roman" w:hAnsi="Calibri" w:cs="Times New Roman"/>
                <w:bCs/>
                <w:color w:val="000000"/>
                <w:lang w:val="en-US" w:eastAsia="de-DE"/>
              </w:rPr>
            </w:pPr>
          </w:p>
          <w:p w:rsidR="00D77CE6" w:rsidRPr="00A71B19" w:rsidRDefault="00D77CE6" w:rsidP="00D67858">
            <w:pPr>
              <w:spacing w:after="0"/>
              <w:ind w:left="720"/>
              <w:jc w:val="both"/>
              <w:rPr>
                <w:rFonts w:ascii="Calibri" w:eastAsia="Times New Roman" w:hAnsi="Calibri" w:cs="Times New Roman"/>
                <w:bCs/>
                <w:color w:val="000000"/>
                <w:lang w:val="en-US" w:eastAsia="de-DE"/>
              </w:rPr>
            </w:pPr>
          </w:p>
        </w:tc>
      </w:tr>
      <w:tr w:rsidR="00A71B19" w:rsidRPr="00A71B19" w:rsidTr="00FE6795">
        <w:trPr>
          <w:trHeight w:val="284"/>
        </w:trPr>
        <w:tc>
          <w:tcPr>
            <w:tcW w:w="1710" w:type="dxa"/>
            <w:shd w:val="clear" w:color="auto" w:fill="D9D9D9" w:themeFill="background1" w:themeFillShade="D9"/>
            <w:hideMark/>
          </w:tcPr>
          <w:p w:rsidR="00A71B19" w:rsidRPr="00A71B19" w:rsidRDefault="00A71B19" w:rsidP="00D67858">
            <w:pPr>
              <w:spacing w:after="0"/>
              <w:rPr>
                <w:rFonts w:eastAsia="Times New Roman" w:cs="Times New Roman"/>
                <w:b/>
                <w:bCs/>
                <w:color w:val="000000"/>
                <w:lang w:eastAsia="de-DE"/>
              </w:rPr>
            </w:pPr>
            <w:r w:rsidRPr="00A71B19">
              <w:rPr>
                <w:rFonts w:eastAsia="Times New Roman" w:cs="Times New Roman"/>
                <w:b/>
                <w:bCs/>
                <w:color w:val="000000"/>
                <w:lang w:eastAsia="de-DE"/>
              </w:rPr>
              <w:lastRenderedPageBreak/>
              <w:t>Conditions of employment</w:t>
            </w:r>
          </w:p>
        </w:tc>
        <w:tc>
          <w:tcPr>
            <w:tcW w:w="3603" w:type="dxa"/>
            <w:shd w:val="clear" w:color="auto" w:fill="F2F2F2" w:themeFill="background1" w:themeFillShade="F2"/>
          </w:tcPr>
          <w:p w:rsidR="00A71B19" w:rsidRPr="00A71B19" w:rsidRDefault="00A71B19" w:rsidP="00367AB8">
            <w:pPr>
              <w:spacing w:after="0"/>
              <w:rPr>
                <w:rFonts w:eastAsia="Times New Roman" w:cs="Times New Roman"/>
                <w:b/>
                <w:bCs/>
                <w:color w:val="000000"/>
                <w:lang w:eastAsia="de-DE"/>
              </w:rPr>
            </w:pPr>
          </w:p>
        </w:tc>
        <w:tc>
          <w:tcPr>
            <w:tcW w:w="4587" w:type="dxa"/>
          </w:tcPr>
          <w:p w:rsidR="00A71B19" w:rsidRPr="00A71B19" w:rsidRDefault="00A71B19" w:rsidP="00A71B19">
            <w:pPr>
              <w:pStyle w:val="ListParagraph"/>
              <w:numPr>
                <w:ilvl w:val="0"/>
                <w:numId w:val="10"/>
              </w:numPr>
              <w:jc w:val="both"/>
              <w:rPr>
                <w:rFonts w:ascii="Calibri" w:eastAsia="Times New Roman" w:hAnsi="Calibri" w:cs="Times New Roman"/>
                <w:b/>
                <w:bCs/>
                <w:color w:val="000000"/>
                <w:lang w:val="en-US" w:eastAsia="de-DE"/>
              </w:rPr>
            </w:pPr>
            <w:r w:rsidRPr="00A71B19">
              <w:rPr>
                <w:rFonts w:ascii="Calibri" w:eastAsia="Times New Roman" w:hAnsi="Calibri" w:cs="Times New Roman"/>
                <w:b/>
                <w:bCs/>
                <w:color w:val="000000"/>
                <w:lang w:val="en-US" w:eastAsia="de-DE"/>
              </w:rPr>
              <w:t>Enabling the employer</w:t>
            </w:r>
          </w:p>
          <w:p w:rsidR="00A71B19" w:rsidRPr="00A71B19" w:rsidRDefault="00A71B19" w:rsidP="00367AB8">
            <w:pPr>
              <w:spacing w:after="0"/>
              <w:ind w:left="720"/>
              <w:jc w:val="both"/>
              <w:rPr>
                <w:rFonts w:ascii="Calibri" w:eastAsia="Times New Roman" w:hAnsi="Calibri" w:cs="Times New Roman"/>
                <w:bCs/>
                <w:lang w:val="en-US" w:eastAsia="de-DE"/>
              </w:rPr>
            </w:pPr>
            <w:r w:rsidRPr="00A71B19">
              <w:rPr>
                <w:rFonts w:ascii="Calibri" w:eastAsia="Times New Roman" w:hAnsi="Calibri" w:cs="Times New Roman"/>
                <w:bCs/>
                <w:color w:val="000000"/>
                <w:lang w:val="en-US" w:eastAsia="de-DE"/>
              </w:rPr>
              <w:t>Adequate funds need to be provided so that employers can develop clear and effective business models for the recruitment and retention of assistants.  In this way employers can establish long term labor relations with the employees and can offer professional development and career progression.</w:t>
            </w:r>
            <w:r w:rsidRPr="00A71B19">
              <w:rPr>
                <w:rFonts w:ascii="Calibri" w:eastAsia="Times New Roman" w:hAnsi="Calibri" w:cs="Times New Roman"/>
                <w:bCs/>
                <w:lang w:val="en-US" w:eastAsia="de-DE"/>
              </w:rPr>
              <w:t xml:space="preserve"> </w:t>
            </w:r>
          </w:p>
          <w:p w:rsidR="00A71B19" w:rsidRPr="00A71B19" w:rsidRDefault="00A71B19" w:rsidP="00A71B19">
            <w:pPr>
              <w:pStyle w:val="ListParagraph"/>
              <w:numPr>
                <w:ilvl w:val="0"/>
                <w:numId w:val="10"/>
              </w:numPr>
              <w:jc w:val="both"/>
              <w:rPr>
                <w:rFonts w:ascii="Calibri" w:eastAsia="Times New Roman" w:hAnsi="Calibri" w:cs="Times New Roman"/>
                <w:b/>
                <w:bCs/>
                <w:color w:val="000000"/>
                <w:lang w:val="en-US" w:eastAsia="de-DE"/>
              </w:rPr>
            </w:pPr>
            <w:r w:rsidRPr="00A71B19">
              <w:rPr>
                <w:rFonts w:eastAsia="Times New Roman" w:cs="Times New Roman"/>
                <w:b/>
                <w:bCs/>
                <w:color w:val="000000"/>
                <w:lang w:val="en-GB" w:eastAsia="de-DE"/>
              </w:rPr>
              <w:t>Enabling</w:t>
            </w:r>
            <w:r w:rsidRPr="00A71B19">
              <w:rPr>
                <w:rFonts w:ascii="Calibri" w:eastAsia="Times New Roman" w:hAnsi="Calibri" w:cs="Times New Roman"/>
                <w:b/>
                <w:bCs/>
                <w:color w:val="000000"/>
                <w:lang w:val="en-US" w:eastAsia="de-DE"/>
              </w:rPr>
              <w:t xml:space="preserve"> the assistants</w:t>
            </w:r>
          </w:p>
          <w:p w:rsidR="00A71B19" w:rsidRPr="00A71B19" w:rsidRDefault="00A71B19" w:rsidP="00367AB8">
            <w:pPr>
              <w:spacing w:after="0"/>
              <w:ind w:left="720"/>
              <w:jc w:val="both"/>
              <w:rPr>
                <w:rFonts w:ascii="Calibri" w:eastAsia="Times New Roman" w:hAnsi="Calibri" w:cs="Times New Roman"/>
                <w:bCs/>
                <w:color w:val="000000"/>
                <w:lang w:val="en-US" w:eastAsia="de-DE"/>
              </w:rPr>
            </w:pPr>
            <w:r w:rsidRPr="00A71B19">
              <w:rPr>
                <w:rFonts w:ascii="Calibri" w:eastAsia="Times New Roman" w:hAnsi="Calibri" w:cs="Times New Roman"/>
                <w:bCs/>
                <w:color w:val="000000"/>
                <w:lang w:val="en-US" w:eastAsia="de-DE"/>
              </w:rPr>
              <w:t xml:space="preserve">Assistants should have stable working conditions and job security with contracts of employment according to national employment laws. </w:t>
            </w:r>
          </w:p>
          <w:p w:rsidR="00A71B19" w:rsidRPr="00A71B19" w:rsidRDefault="00A71B19" w:rsidP="00367AB8">
            <w:pPr>
              <w:spacing w:after="0"/>
              <w:ind w:left="720"/>
              <w:jc w:val="both"/>
              <w:rPr>
                <w:rFonts w:ascii="Calibri" w:eastAsia="Times New Roman" w:hAnsi="Calibri" w:cs="Times New Roman"/>
                <w:bCs/>
                <w:lang w:val="en-US" w:eastAsia="de-DE"/>
              </w:rPr>
            </w:pPr>
            <w:r w:rsidRPr="00A71B19">
              <w:rPr>
                <w:rFonts w:ascii="Calibri" w:eastAsia="Times New Roman" w:hAnsi="Calibri" w:cs="Times New Roman"/>
                <w:bCs/>
                <w:lang w:val="en-US" w:eastAsia="de-DE"/>
              </w:rPr>
              <w:t>The salary of assistants should be relevant to their legal status, their qualification profile, and their duties and responsibilities.</w:t>
            </w:r>
          </w:p>
          <w:p w:rsidR="00A71B19" w:rsidRPr="00A71B19" w:rsidRDefault="00A71B19" w:rsidP="00A71B19">
            <w:pPr>
              <w:pStyle w:val="ListParagraph"/>
              <w:numPr>
                <w:ilvl w:val="0"/>
                <w:numId w:val="10"/>
              </w:numPr>
              <w:jc w:val="both"/>
              <w:rPr>
                <w:rFonts w:ascii="Calibri" w:eastAsia="Times New Roman" w:hAnsi="Calibri" w:cs="Times New Roman"/>
                <w:b/>
                <w:bCs/>
                <w:lang w:val="en-US" w:eastAsia="de-DE"/>
              </w:rPr>
            </w:pPr>
            <w:r w:rsidRPr="00A71B19">
              <w:rPr>
                <w:rFonts w:ascii="Calibri" w:eastAsia="Times New Roman" w:hAnsi="Calibri" w:cs="Times New Roman"/>
                <w:b/>
                <w:bCs/>
                <w:lang w:val="en-US" w:eastAsia="de-DE"/>
              </w:rPr>
              <w:t>Enabling the pupils</w:t>
            </w:r>
          </w:p>
          <w:p w:rsidR="00E20DAF" w:rsidRDefault="00A71B19" w:rsidP="009908A0">
            <w:pPr>
              <w:spacing w:after="0"/>
              <w:ind w:left="720"/>
              <w:jc w:val="both"/>
              <w:rPr>
                <w:rFonts w:ascii="Calibri" w:eastAsia="Times New Roman" w:hAnsi="Calibri" w:cs="Times New Roman"/>
                <w:bCs/>
                <w:lang w:val="en-US" w:eastAsia="de-DE"/>
              </w:rPr>
            </w:pPr>
            <w:r w:rsidRPr="00A71B19">
              <w:rPr>
                <w:rFonts w:ascii="Calibri" w:eastAsia="Times New Roman" w:hAnsi="Calibri" w:cs="Times New Roman"/>
                <w:bCs/>
                <w:lang w:val="en-US" w:eastAsia="de-DE"/>
              </w:rPr>
              <w:t>Long term relationships between assistants and the class communities they are responsible for should be sought and established, also at times of transition.</w:t>
            </w:r>
          </w:p>
          <w:p w:rsidR="009908A0" w:rsidRDefault="009908A0" w:rsidP="009908A0">
            <w:pPr>
              <w:spacing w:after="0"/>
              <w:ind w:left="720"/>
              <w:jc w:val="both"/>
              <w:rPr>
                <w:rFonts w:ascii="Calibri" w:eastAsia="Times New Roman" w:hAnsi="Calibri" w:cs="Times New Roman"/>
                <w:bCs/>
                <w:lang w:val="en-US" w:eastAsia="de-DE"/>
              </w:rPr>
            </w:pPr>
          </w:p>
          <w:p w:rsidR="009908A0" w:rsidRDefault="009908A0" w:rsidP="009908A0">
            <w:pPr>
              <w:spacing w:after="0"/>
              <w:ind w:left="720"/>
              <w:jc w:val="both"/>
              <w:rPr>
                <w:rFonts w:ascii="Calibri" w:eastAsia="Times New Roman" w:hAnsi="Calibri" w:cs="Times New Roman"/>
                <w:bCs/>
                <w:lang w:val="en-US" w:eastAsia="de-DE"/>
              </w:rPr>
            </w:pPr>
          </w:p>
          <w:p w:rsidR="009908A0" w:rsidRPr="00A71B19" w:rsidRDefault="009908A0" w:rsidP="009908A0">
            <w:pPr>
              <w:spacing w:after="0"/>
              <w:ind w:left="720"/>
              <w:jc w:val="both"/>
              <w:rPr>
                <w:rFonts w:ascii="Calibri" w:eastAsia="Times New Roman" w:hAnsi="Calibri" w:cs="Times New Roman"/>
                <w:bCs/>
                <w:lang w:val="en-US" w:eastAsia="de-DE"/>
              </w:rPr>
            </w:pPr>
          </w:p>
        </w:tc>
        <w:tc>
          <w:tcPr>
            <w:tcW w:w="4230" w:type="dxa"/>
            <w:shd w:val="clear" w:color="auto" w:fill="auto"/>
          </w:tcPr>
          <w:p w:rsidR="00A71B19" w:rsidRDefault="00A71B19" w:rsidP="00D67858">
            <w:pPr>
              <w:spacing w:after="0"/>
              <w:ind w:left="720"/>
              <w:jc w:val="both"/>
              <w:rPr>
                <w:rFonts w:ascii="Calibri" w:eastAsia="Times New Roman" w:hAnsi="Calibri" w:cs="Times New Roman"/>
                <w:bCs/>
                <w:color w:val="000000"/>
                <w:lang w:val="en-US" w:eastAsia="de-DE"/>
              </w:rPr>
            </w:pPr>
          </w:p>
          <w:p w:rsidR="00D77CE6" w:rsidRPr="00A71B19" w:rsidRDefault="00D77CE6" w:rsidP="00D67858">
            <w:pPr>
              <w:spacing w:after="0"/>
              <w:ind w:left="720"/>
              <w:jc w:val="both"/>
              <w:rPr>
                <w:rFonts w:ascii="Calibri" w:eastAsia="Times New Roman" w:hAnsi="Calibri" w:cs="Times New Roman"/>
                <w:bCs/>
                <w:lang w:val="en-US" w:eastAsia="de-DE"/>
              </w:rPr>
            </w:pPr>
          </w:p>
        </w:tc>
      </w:tr>
      <w:tr w:rsidR="00A71B19" w:rsidRPr="00A71B19" w:rsidTr="00FE6795">
        <w:trPr>
          <w:trHeight w:val="284"/>
        </w:trPr>
        <w:tc>
          <w:tcPr>
            <w:tcW w:w="1710" w:type="dxa"/>
            <w:shd w:val="clear" w:color="auto" w:fill="D9D9D9" w:themeFill="background1" w:themeFillShade="D9"/>
            <w:noWrap/>
            <w:hideMark/>
          </w:tcPr>
          <w:p w:rsidR="00A71B19" w:rsidRPr="00A71B19" w:rsidRDefault="00A71B19" w:rsidP="00D67858">
            <w:pPr>
              <w:spacing w:after="0"/>
              <w:rPr>
                <w:rFonts w:eastAsia="Times New Roman" w:cs="Times New Roman"/>
                <w:b/>
                <w:bCs/>
                <w:color w:val="000000"/>
                <w:lang w:eastAsia="de-DE"/>
              </w:rPr>
            </w:pPr>
            <w:r w:rsidRPr="00A71B19">
              <w:rPr>
                <w:rFonts w:eastAsia="Times New Roman" w:cs="Times New Roman"/>
                <w:b/>
                <w:bCs/>
                <w:color w:val="000000"/>
                <w:lang w:eastAsia="de-DE"/>
              </w:rPr>
              <w:lastRenderedPageBreak/>
              <w:t>Profile of workforce</w:t>
            </w:r>
          </w:p>
        </w:tc>
        <w:tc>
          <w:tcPr>
            <w:tcW w:w="3603" w:type="dxa"/>
            <w:shd w:val="clear" w:color="auto" w:fill="F2F2F2" w:themeFill="background1" w:themeFillShade="F2"/>
          </w:tcPr>
          <w:p w:rsidR="00A71B19" w:rsidRPr="00A71B19" w:rsidRDefault="00A71B19" w:rsidP="00367AB8">
            <w:pPr>
              <w:spacing w:after="0"/>
              <w:rPr>
                <w:rFonts w:eastAsia="Times New Roman" w:cs="Times New Roman"/>
                <w:b/>
                <w:bCs/>
                <w:color w:val="000000"/>
                <w:lang w:eastAsia="de-DE"/>
              </w:rPr>
            </w:pPr>
          </w:p>
        </w:tc>
        <w:tc>
          <w:tcPr>
            <w:tcW w:w="4587" w:type="dxa"/>
          </w:tcPr>
          <w:p w:rsidR="00A71B19" w:rsidRPr="00A71B19" w:rsidRDefault="00A71B19" w:rsidP="00A71B19">
            <w:pPr>
              <w:pStyle w:val="ListParagraph"/>
              <w:numPr>
                <w:ilvl w:val="0"/>
                <w:numId w:val="10"/>
              </w:numPr>
              <w:jc w:val="both"/>
              <w:rPr>
                <w:rFonts w:ascii="Calibri" w:eastAsia="Times New Roman" w:hAnsi="Calibri" w:cs="Times New Roman"/>
                <w:b/>
                <w:bCs/>
                <w:color w:val="000000"/>
                <w:lang w:val="en-US" w:eastAsia="de-DE"/>
              </w:rPr>
            </w:pPr>
            <w:r w:rsidRPr="00A71B19">
              <w:rPr>
                <w:rFonts w:ascii="Calibri" w:eastAsia="Times New Roman" w:hAnsi="Calibri" w:cs="Times New Roman"/>
                <w:b/>
                <w:bCs/>
                <w:color w:val="000000"/>
                <w:lang w:val="en-US" w:eastAsia="de-DE"/>
              </w:rPr>
              <w:t>Diversity of workforce</w:t>
            </w:r>
          </w:p>
          <w:p w:rsidR="00A71B19" w:rsidRPr="00A71B19" w:rsidRDefault="00A71B19" w:rsidP="00367AB8">
            <w:pPr>
              <w:spacing w:after="0"/>
              <w:ind w:left="720"/>
              <w:jc w:val="both"/>
              <w:rPr>
                <w:rFonts w:ascii="Calibri" w:eastAsia="Times New Roman" w:hAnsi="Calibri" w:cs="Times New Roman"/>
                <w:bCs/>
                <w:color w:val="000000"/>
                <w:lang w:val="en-US" w:eastAsia="de-DE"/>
              </w:rPr>
            </w:pPr>
            <w:r w:rsidRPr="00A71B19">
              <w:rPr>
                <w:rFonts w:ascii="Calibri" w:eastAsia="Times New Roman" w:hAnsi="Calibri" w:cs="Times New Roman"/>
                <w:bCs/>
                <w:color w:val="000000"/>
                <w:lang w:val="en-US" w:eastAsia="de-DE"/>
              </w:rPr>
              <w:t xml:space="preserve">Those offering training and employment for school assistants need to strengthen their efforts to attract more assistants from diverse backgrounds reflecting their local communities. More persons with disabilities as well as other groups at risk by exclusion (e.g. </w:t>
            </w:r>
            <w:proofErr w:type="spellStart"/>
            <w:r w:rsidRPr="00A71B19">
              <w:rPr>
                <w:rFonts w:ascii="Calibri" w:eastAsia="Times New Roman" w:hAnsi="Calibri" w:cs="Times New Roman"/>
                <w:bCs/>
                <w:color w:val="000000"/>
                <w:lang w:val="en-US" w:eastAsia="de-DE"/>
              </w:rPr>
              <w:t>roma</w:t>
            </w:r>
            <w:proofErr w:type="spellEnd"/>
            <w:r w:rsidRPr="00A71B19">
              <w:rPr>
                <w:rFonts w:ascii="Calibri" w:eastAsia="Times New Roman" w:hAnsi="Calibri" w:cs="Times New Roman"/>
                <w:bCs/>
                <w:color w:val="000000"/>
                <w:lang w:val="en-US" w:eastAsia="de-DE"/>
              </w:rPr>
              <w:t xml:space="preserve"> people) should be encouraged to work as assistants. The gender and age ratio of the staff also should be balanced as far as possible.</w:t>
            </w:r>
          </w:p>
        </w:tc>
        <w:tc>
          <w:tcPr>
            <w:tcW w:w="4230" w:type="dxa"/>
            <w:shd w:val="clear" w:color="auto" w:fill="auto"/>
          </w:tcPr>
          <w:p w:rsidR="00514204" w:rsidRDefault="00514204" w:rsidP="009E6AB1">
            <w:pPr>
              <w:spacing w:after="0"/>
              <w:ind w:left="720"/>
              <w:jc w:val="both"/>
              <w:rPr>
                <w:rFonts w:ascii="Calibri" w:eastAsia="Times New Roman" w:hAnsi="Calibri" w:cs="Times New Roman"/>
                <w:bCs/>
                <w:color w:val="000000"/>
                <w:lang w:val="en-US" w:eastAsia="de-DE"/>
              </w:rPr>
            </w:pPr>
          </w:p>
          <w:p w:rsidR="00D77CE6" w:rsidRPr="00A71B19" w:rsidRDefault="00514204" w:rsidP="00514204">
            <w:pPr>
              <w:spacing w:after="0"/>
              <w:ind w:left="720"/>
              <w:jc w:val="both"/>
              <w:rPr>
                <w:rFonts w:ascii="Calibri" w:eastAsia="Times New Roman" w:hAnsi="Calibri" w:cs="Times New Roman"/>
                <w:bCs/>
                <w:color w:val="000000"/>
                <w:lang w:val="en-US" w:eastAsia="de-DE"/>
              </w:rPr>
            </w:pPr>
            <w:r>
              <w:rPr>
                <w:rFonts w:ascii="Calibri" w:eastAsia="Times New Roman" w:hAnsi="Calibri" w:cs="Times New Roman"/>
                <w:bCs/>
                <w:color w:val="000000"/>
                <w:lang w:val="en-US" w:eastAsia="de-DE"/>
              </w:rPr>
              <w:t xml:space="preserve">Diversity in today’s Britain is not currently reflected in the diversity among assistants in schools.  </w:t>
            </w:r>
            <w:r w:rsidR="00C96BEF">
              <w:rPr>
                <w:rFonts w:ascii="Calibri" w:eastAsia="Times New Roman" w:hAnsi="Calibri" w:cs="Times New Roman"/>
                <w:bCs/>
                <w:color w:val="000000"/>
                <w:lang w:val="en-US" w:eastAsia="de-DE"/>
              </w:rPr>
              <w:t xml:space="preserve">Latest figures on the diversity of the workforce in England (SFR </w:t>
            </w:r>
            <w:r w:rsidR="00C96BEF" w:rsidRPr="00C96BEF">
              <w:rPr>
                <w:rFonts w:ascii="Calibri" w:eastAsia="Times New Roman" w:hAnsi="Calibri" w:cs="Times New Roman"/>
                <w:bCs/>
                <w:color w:val="000000"/>
                <w:lang w:eastAsia="de-DE"/>
              </w:rPr>
              <w:t xml:space="preserve">25/2017, </w:t>
            </w:r>
            <w:r w:rsidR="00C96BEF">
              <w:rPr>
                <w:rFonts w:ascii="Calibri" w:eastAsia="Times New Roman" w:hAnsi="Calibri" w:cs="Times New Roman"/>
                <w:bCs/>
                <w:color w:val="000000"/>
                <w:lang w:eastAsia="de-DE"/>
              </w:rPr>
              <w:t xml:space="preserve">published on </w:t>
            </w:r>
            <w:r w:rsidR="00C96BEF" w:rsidRPr="00C96BEF">
              <w:rPr>
                <w:rFonts w:ascii="Calibri" w:eastAsia="Times New Roman" w:hAnsi="Calibri" w:cs="Times New Roman"/>
                <w:bCs/>
                <w:color w:val="000000"/>
                <w:lang w:eastAsia="de-DE"/>
              </w:rPr>
              <w:t>22 June 2017</w:t>
            </w:r>
            <w:r w:rsidR="00C96BEF">
              <w:rPr>
                <w:rFonts w:ascii="Calibri" w:eastAsia="Times New Roman" w:hAnsi="Calibri" w:cs="Times New Roman"/>
                <w:bCs/>
                <w:color w:val="000000"/>
                <w:lang w:eastAsia="de-DE"/>
              </w:rPr>
              <w:t xml:space="preserve">) </w:t>
            </w:r>
            <w:r>
              <w:rPr>
                <w:rFonts w:ascii="Calibri" w:eastAsia="Times New Roman" w:hAnsi="Calibri" w:cs="Times New Roman"/>
                <w:bCs/>
                <w:color w:val="000000"/>
                <w:lang w:eastAsia="de-DE"/>
              </w:rPr>
              <w:t>suggest</w:t>
            </w:r>
            <w:r w:rsidR="00C96BEF">
              <w:rPr>
                <w:rFonts w:ascii="Calibri" w:eastAsia="Times New Roman" w:hAnsi="Calibri" w:cs="Times New Roman"/>
                <w:bCs/>
                <w:color w:val="000000"/>
                <w:lang w:eastAsia="de-DE"/>
              </w:rPr>
              <w:t xml:space="preserve"> that 91.4% of teaching assistants are female and 86% are White British.</w:t>
            </w:r>
            <w:r w:rsidR="00DC377F">
              <w:rPr>
                <w:rFonts w:ascii="Calibri" w:eastAsia="Times New Roman" w:hAnsi="Calibri" w:cs="Times New Roman"/>
                <w:bCs/>
                <w:color w:val="000000"/>
                <w:lang w:eastAsia="de-DE"/>
              </w:rPr>
              <w:t xml:space="preserve">  </w:t>
            </w:r>
            <w:r w:rsidR="009E6AB1">
              <w:rPr>
                <w:rFonts w:ascii="Calibri" w:eastAsia="Times New Roman" w:hAnsi="Calibri" w:cs="Times New Roman"/>
                <w:bCs/>
                <w:color w:val="000000"/>
                <w:lang w:eastAsia="de-DE"/>
              </w:rPr>
              <w:t>No information is available on the number</w:t>
            </w:r>
            <w:r w:rsidR="00DC377F">
              <w:rPr>
                <w:rFonts w:ascii="Calibri" w:eastAsia="Times New Roman" w:hAnsi="Calibri" w:cs="Times New Roman"/>
                <w:bCs/>
                <w:color w:val="000000"/>
                <w:lang w:eastAsia="de-DE"/>
              </w:rPr>
              <w:t xml:space="preserve"> </w:t>
            </w:r>
            <w:r w:rsidR="009E6AB1">
              <w:rPr>
                <w:rFonts w:ascii="Calibri" w:eastAsia="Times New Roman" w:hAnsi="Calibri" w:cs="Times New Roman"/>
                <w:bCs/>
                <w:color w:val="000000"/>
                <w:lang w:eastAsia="de-DE"/>
              </w:rPr>
              <w:t>or proportion of assistants who are disabled.</w:t>
            </w:r>
          </w:p>
        </w:tc>
      </w:tr>
    </w:tbl>
    <w:p w:rsidR="00145AF1" w:rsidRPr="00A71B19" w:rsidRDefault="00145AF1" w:rsidP="00D67858">
      <w:pPr>
        <w:spacing w:after="0"/>
        <w:rPr>
          <w:b/>
          <w:lang w:val="en-US"/>
        </w:rPr>
      </w:pPr>
    </w:p>
    <w:p w:rsidR="00145AF1" w:rsidRDefault="00145AF1" w:rsidP="00D67858">
      <w:pPr>
        <w:spacing w:after="0"/>
        <w:rPr>
          <w:b/>
          <w:lang w:val="en-US"/>
        </w:rPr>
      </w:pPr>
    </w:p>
    <w:p w:rsidR="00FE6795" w:rsidRPr="00A71B19" w:rsidRDefault="00FE6795" w:rsidP="00D67858">
      <w:pPr>
        <w:spacing w:after="0"/>
        <w:rPr>
          <w:b/>
          <w:lang w:val="en-US"/>
        </w:rPr>
      </w:pPr>
    </w:p>
    <w:p w:rsidR="00101545" w:rsidRPr="00A71B19" w:rsidRDefault="0024371B" w:rsidP="00D67858">
      <w:pPr>
        <w:spacing w:after="0"/>
        <w:rPr>
          <w:b/>
          <w:lang w:val="en-US"/>
        </w:rPr>
      </w:pPr>
      <w:r w:rsidRPr="00A71B19">
        <w:rPr>
          <w:b/>
          <w:lang w:val="en-US"/>
        </w:rPr>
        <w:t xml:space="preserve">4. </w:t>
      </w:r>
      <w:r w:rsidR="00EA4D29" w:rsidRPr="00A71B19">
        <w:rPr>
          <w:b/>
          <w:lang w:val="en-US"/>
        </w:rPr>
        <w:t>Conclusion</w:t>
      </w:r>
    </w:p>
    <w:p w:rsidR="0024371B" w:rsidRDefault="0024371B" w:rsidP="00D67858">
      <w:pPr>
        <w:spacing w:after="0"/>
        <w:jc w:val="both"/>
        <w:rPr>
          <w:lang w:val="en-US"/>
        </w:rPr>
      </w:pPr>
      <w:r w:rsidRPr="00A71B19">
        <w:rPr>
          <w:lang w:val="en-US"/>
        </w:rPr>
        <w:t xml:space="preserve">Assistance systems play a key role in establishing </w:t>
      </w:r>
      <w:r w:rsidR="00330E4A" w:rsidRPr="00A71B19">
        <w:rPr>
          <w:lang w:val="en-US"/>
        </w:rPr>
        <w:t>a</w:t>
      </w:r>
      <w:r w:rsidR="003A5330" w:rsidRPr="00A71B19">
        <w:rPr>
          <w:lang w:val="en-US"/>
        </w:rPr>
        <w:t>n inclusive educational system. O</w:t>
      </w:r>
      <w:r w:rsidR="00330E4A" w:rsidRPr="00A71B19">
        <w:rPr>
          <w:lang w:val="en-US"/>
        </w:rPr>
        <w:t xml:space="preserve">n </w:t>
      </w:r>
      <w:r w:rsidR="00EA4D29" w:rsidRPr="00A71B19">
        <w:rPr>
          <w:lang w:val="en-US"/>
        </w:rPr>
        <w:t xml:space="preserve">the </w:t>
      </w:r>
      <w:r w:rsidR="00330E4A" w:rsidRPr="00A71B19">
        <w:rPr>
          <w:lang w:val="en-US"/>
        </w:rPr>
        <w:t xml:space="preserve">one hand </w:t>
      </w:r>
      <w:r w:rsidR="00803487" w:rsidRPr="00A71B19">
        <w:rPr>
          <w:lang w:val="en-US"/>
        </w:rPr>
        <w:t xml:space="preserve">assistants contribute </w:t>
      </w:r>
      <w:r w:rsidR="00330E4A" w:rsidRPr="00A71B19">
        <w:rPr>
          <w:lang w:val="en-US"/>
        </w:rPr>
        <w:t>to</w:t>
      </w:r>
      <w:r w:rsidRPr="00A71B19">
        <w:rPr>
          <w:lang w:val="en-US"/>
        </w:rPr>
        <w:t xml:space="preserve"> </w:t>
      </w:r>
      <w:r w:rsidR="00EA4D29" w:rsidRPr="00A71B19">
        <w:rPr>
          <w:lang w:val="en-US"/>
        </w:rPr>
        <w:t xml:space="preserve">the </w:t>
      </w:r>
      <w:r w:rsidRPr="00A71B19">
        <w:rPr>
          <w:lang w:val="en-US"/>
        </w:rPr>
        <w:t>learn</w:t>
      </w:r>
      <w:r w:rsidR="00330E4A" w:rsidRPr="00A71B19">
        <w:rPr>
          <w:lang w:val="en-US"/>
        </w:rPr>
        <w:t>ing</w:t>
      </w:r>
      <w:r w:rsidRPr="00A71B19">
        <w:rPr>
          <w:lang w:val="en-US"/>
        </w:rPr>
        <w:t xml:space="preserve"> and develop</w:t>
      </w:r>
      <w:r w:rsidR="00330E4A" w:rsidRPr="00A71B19">
        <w:rPr>
          <w:lang w:val="en-US"/>
        </w:rPr>
        <w:t xml:space="preserve">ment of </w:t>
      </w:r>
      <w:r w:rsidRPr="00A71B19">
        <w:rPr>
          <w:b/>
          <w:lang w:val="en-US"/>
        </w:rPr>
        <w:t>all</w:t>
      </w:r>
      <w:r w:rsidRPr="00A71B19">
        <w:rPr>
          <w:lang w:val="en-US"/>
        </w:rPr>
        <w:t xml:space="preserve"> </w:t>
      </w:r>
      <w:r w:rsidR="00330E4A" w:rsidRPr="00A71B19">
        <w:rPr>
          <w:lang w:val="en-US"/>
        </w:rPr>
        <w:t>pupils</w:t>
      </w:r>
      <w:r w:rsidRPr="00A71B19">
        <w:rPr>
          <w:lang w:val="en-US"/>
        </w:rPr>
        <w:t xml:space="preserve"> in </w:t>
      </w:r>
      <w:r w:rsidR="00803487" w:rsidRPr="00A71B19">
        <w:rPr>
          <w:lang w:val="en-US"/>
        </w:rPr>
        <w:t xml:space="preserve">schools and on the other </w:t>
      </w:r>
      <w:r w:rsidR="00EA4D29" w:rsidRPr="00A71B19">
        <w:rPr>
          <w:lang w:val="en-US"/>
        </w:rPr>
        <w:t xml:space="preserve">they </w:t>
      </w:r>
      <w:r w:rsidRPr="00A71B19">
        <w:rPr>
          <w:lang w:val="en-US"/>
        </w:rPr>
        <w:t xml:space="preserve">help </w:t>
      </w:r>
      <w:r w:rsidR="00EA4D29" w:rsidRPr="00A71B19">
        <w:rPr>
          <w:lang w:val="en-US"/>
        </w:rPr>
        <w:t>to uphold</w:t>
      </w:r>
      <w:r w:rsidR="003A5330" w:rsidRPr="00A71B19">
        <w:rPr>
          <w:lang w:val="en-US"/>
        </w:rPr>
        <w:t xml:space="preserve"> </w:t>
      </w:r>
      <w:r w:rsidRPr="00A71B19">
        <w:rPr>
          <w:lang w:val="en-US"/>
        </w:rPr>
        <w:t xml:space="preserve">the individual right of </w:t>
      </w:r>
      <w:r w:rsidR="00EA4D29" w:rsidRPr="00A71B19">
        <w:rPr>
          <w:lang w:val="en-US"/>
        </w:rPr>
        <w:t xml:space="preserve">all </w:t>
      </w:r>
      <w:r w:rsidR="00F81346">
        <w:rPr>
          <w:lang w:val="en-US"/>
        </w:rPr>
        <w:t xml:space="preserve">disabled </w:t>
      </w:r>
      <w:r w:rsidR="00EA4D29" w:rsidRPr="00A71B19">
        <w:rPr>
          <w:lang w:val="en-US"/>
        </w:rPr>
        <w:t xml:space="preserve">children and young people </w:t>
      </w:r>
      <w:r w:rsidR="00F971FC" w:rsidRPr="00A71B19">
        <w:rPr>
          <w:lang w:val="en-US"/>
        </w:rPr>
        <w:t>to</w:t>
      </w:r>
      <w:r w:rsidRPr="00A71B19">
        <w:rPr>
          <w:lang w:val="en-US"/>
        </w:rPr>
        <w:t xml:space="preserve"> fully participate in </w:t>
      </w:r>
      <w:r w:rsidR="00EA4D29" w:rsidRPr="00A71B19">
        <w:rPr>
          <w:lang w:val="en-US"/>
        </w:rPr>
        <w:t>their school community</w:t>
      </w:r>
      <w:r w:rsidR="003A5330" w:rsidRPr="00A71B19">
        <w:rPr>
          <w:lang w:val="en-US"/>
        </w:rPr>
        <w:t>. T</w:t>
      </w:r>
      <w:r w:rsidRPr="00A71B19">
        <w:rPr>
          <w:lang w:val="en-US"/>
        </w:rPr>
        <w:t>he followi</w:t>
      </w:r>
      <w:r w:rsidR="00145AF1" w:rsidRPr="00A71B19">
        <w:rPr>
          <w:lang w:val="en-US"/>
        </w:rPr>
        <w:t xml:space="preserve">ng </w:t>
      </w:r>
      <w:r w:rsidR="00EA4D29" w:rsidRPr="00A71B19">
        <w:rPr>
          <w:lang w:val="en-US"/>
        </w:rPr>
        <w:t>issues are of vital significance</w:t>
      </w:r>
      <w:r w:rsidR="00145AF1" w:rsidRPr="00A71B19">
        <w:rPr>
          <w:lang w:val="en-US"/>
        </w:rPr>
        <w:t>:</w:t>
      </w:r>
      <w:r>
        <w:rPr>
          <w:lang w:val="en-US"/>
        </w:rPr>
        <w:t xml:space="preserve"> </w:t>
      </w:r>
    </w:p>
    <w:p w:rsidR="00EA3342" w:rsidRPr="00EA3342" w:rsidRDefault="00EA3342" w:rsidP="00D10051">
      <w:pPr>
        <w:spacing w:after="0"/>
        <w:ind w:left="288" w:hanging="288"/>
        <w:jc w:val="both"/>
      </w:pPr>
      <w:r>
        <w:t>1. The goal of i</w:t>
      </w:r>
      <w:r w:rsidRPr="00EA3342">
        <w:t>nclusive education should be firmly set in law.</w:t>
      </w:r>
    </w:p>
    <w:p w:rsidR="00EA3342" w:rsidRPr="00EA3342" w:rsidRDefault="00DC11F8" w:rsidP="00D10051">
      <w:pPr>
        <w:spacing w:after="0"/>
        <w:ind w:left="288" w:hanging="288"/>
        <w:jc w:val="both"/>
      </w:pPr>
      <w:r>
        <w:t>2. F</w:t>
      </w:r>
      <w:r w:rsidR="00EA3342" w:rsidRPr="00EA3342">
        <w:t>unding needs to be available</w:t>
      </w:r>
      <w:r>
        <w:t xml:space="preserve"> to schools</w:t>
      </w:r>
      <w:r w:rsidR="00EA3342">
        <w:t xml:space="preserve">, to </w:t>
      </w:r>
      <w:r w:rsidR="00FF7FDA">
        <w:t>enable</w:t>
      </w:r>
      <w:r w:rsidR="00EA3342">
        <w:t xml:space="preserve"> </w:t>
      </w:r>
      <w:r>
        <w:t>them</w:t>
      </w:r>
      <w:r w:rsidR="00EA3342">
        <w:t xml:space="preserve"> to respond to the full diversity of children and young people</w:t>
      </w:r>
      <w:r w:rsidR="00EA3342" w:rsidRPr="00EA3342">
        <w:t>.</w:t>
      </w:r>
    </w:p>
    <w:p w:rsidR="00EA3342" w:rsidRPr="00EA3342" w:rsidRDefault="00EA3342" w:rsidP="00D10051">
      <w:pPr>
        <w:spacing w:after="0"/>
        <w:ind w:left="288" w:hanging="288"/>
        <w:jc w:val="both"/>
      </w:pPr>
      <w:r>
        <w:t>3. Relevant t</w:t>
      </w:r>
      <w:r w:rsidRPr="00EA3342">
        <w:t xml:space="preserve">raining and continued professional development should be </w:t>
      </w:r>
      <w:r>
        <w:t>offered</w:t>
      </w:r>
      <w:r w:rsidRPr="00EA3342">
        <w:t xml:space="preserve"> to all assistants.</w:t>
      </w:r>
    </w:p>
    <w:p w:rsidR="00EA3342" w:rsidRPr="00EA3342" w:rsidRDefault="00DC11F8" w:rsidP="00D10051">
      <w:pPr>
        <w:spacing w:after="0"/>
        <w:ind w:left="288" w:hanging="288"/>
        <w:jc w:val="both"/>
      </w:pPr>
      <w:r>
        <w:t xml:space="preserve">4. </w:t>
      </w:r>
      <w:r w:rsidR="00FF7FDA">
        <w:t xml:space="preserve">Job descriptions for assistants should make it clear that they are required to </w:t>
      </w:r>
      <w:r w:rsidR="00EA3342" w:rsidRPr="00EA3342">
        <w:t xml:space="preserve">support children's learning </w:t>
      </w:r>
      <w:r w:rsidR="00FF7FDA">
        <w:t>as well as their social and emotional development, and should clarify that planning, preparation and liaison with teachers and oth</w:t>
      </w:r>
      <w:r w:rsidR="00E5440D">
        <w:t>er professionals are included in their contractual duties.</w:t>
      </w:r>
    </w:p>
    <w:p w:rsidR="00EA3342" w:rsidRPr="00EA3342" w:rsidRDefault="00EA3342" w:rsidP="00D10051">
      <w:pPr>
        <w:spacing w:after="0"/>
        <w:ind w:left="288" w:hanging="288"/>
        <w:jc w:val="both"/>
      </w:pPr>
      <w:r w:rsidRPr="00EA3342">
        <w:t>5. Assistants should be recognised for the im</w:t>
      </w:r>
      <w:r>
        <w:t>portance of their contribution</w:t>
      </w:r>
      <w:r w:rsidR="00D10051">
        <w:t xml:space="preserve"> to disabled children’s learning and development; </w:t>
      </w:r>
      <w:r w:rsidRPr="00EA3342">
        <w:t>this should be reflected in their</w:t>
      </w:r>
      <w:r>
        <w:t xml:space="preserve"> remuneration and status in school</w:t>
      </w:r>
      <w:r w:rsidRPr="00EA3342">
        <w:t>.</w:t>
      </w:r>
    </w:p>
    <w:p w:rsidR="00EA3342" w:rsidRPr="00EA3342" w:rsidRDefault="00EA3342" w:rsidP="00D67858">
      <w:pPr>
        <w:spacing w:after="0"/>
        <w:jc w:val="both"/>
      </w:pPr>
    </w:p>
    <w:p w:rsidR="00F971FC" w:rsidRPr="006F34EE" w:rsidRDefault="00F971FC" w:rsidP="00D67858">
      <w:pPr>
        <w:spacing w:after="0"/>
        <w:jc w:val="both"/>
        <w:rPr>
          <w:lang w:val="en-US"/>
        </w:rPr>
      </w:pPr>
    </w:p>
    <w:sectPr w:rsidR="00F971FC" w:rsidRPr="006F34EE" w:rsidSect="00E051C1">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838" w:rsidRDefault="00F57838" w:rsidP="00111557">
      <w:pPr>
        <w:spacing w:after="0" w:line="240" w:lineRule="auto"/>
      </w:pPr>
      <w:r>
        <w:separator/>
      </w:r>
    </w:p>
  </w:endnote>
  <w:endnote w:type="continuationSeparator" w:id="0">
    <w:p w:rsidR="00F57838" w:rsidRDefault="00F57838" w:rsidP="00111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Next-Dem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557" w:rsidRDefault="00031B34">
    <w:pPr>
      <w:pStyle w:val="Footer"/>
    </w:pPr>
    <w:r>
      <w:rPr>
        <w:noProof/>
        <w:lang w:eastAsia="en-GB"/>
      </w:rPr>
      <mc:AlternateContent>
        <mc:Choice Requires="wps">
          <w:drawing>
            <wp:anchor distT="0" distB="0" distL="114300" distR="114300" simplePos="0" relativeHeight="251660288" behindDoc="0" locked="0" layoutInCell="1" allowOverlap="1" wp14:anchorId="6B3322CE" wp14:editId="23CB2915">
              <wp:simplePos x="0" y="0"/>
              <wp:positionH relativeFrom="column">
                <wp:posOffset>85725</wp:posOffset>
              </wp:positionH>
              <wp:positionV relativeFrom="paragraph">
                <wp:posOffset>-99060</wp:posOffset>
              </wp:positionV>
              <wp:extent cx="4962525" cy="5810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581025"/>
                      </a:xfrm>
                      <a:prstGeom prst="rect">
                        <a:avLst/>
                      </a:prstGeom>
                      <a:noFill/>
                      <a:ln w="9525">
                        <a:noFill/>
                        <a:miter lim="800000"/>
                        <a:headEnd/>
                        <a:tailEnd/>
                      </a:ln>
                    </wps:spPr>
                    <wps:txbx>
                      <w:txbxContent>
                        <w:p w:rsidR="00111557" w:rsidRPr="00111557" w:rsidRDefault="00111557">
                          <w:pPr>
                            <w:rPr>
                              <w:sz w:val="18"/>
                            </w:rPr>
                          </w:pPr>
                          <w:r w:rsidRPr="00111557">
                            <w:rPr>
                              <w:sz w:val="18"/>
                            </w:rPr>
                            <w:t xml:space="preserve">Improving Assistance in Inclusive Educational Settings is a project funded by the </w:t>
                          </w:r>
                          <w:r w:rsidRPr="00111557">
                            <w:rPr>
                              <w:rStyle w:val="Strong"/>
                              <w:sz w:val="18"/>
                            </w:rPr>
                            <w:t>ERASMUS+ Programme of the European Union</w:t>
                          </w:r>
                          <w:r w:rsidRPr="00111557">
                            <w:rPr>
                              <w:sz w:val="18"/>
                            </w:rPr>
                            <w:t xml:space="preserve"> under Key Action 2: Cooperation for Innovation and the Exchange of Good Practices. Project Number: 2016-1-AT01-KA202-016778.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75pt;margin-top:-7.8pt;width:390.7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" filled="f" stroked="f">
              <v:textbox>
                <w:txbxContent>
                  <w:p w:rsidR="00111557" w:rsidRPr="00111557" w:rsidRDefault="00111557">
                    <w:pPr>
                      <w:rPr>
                        <w:sz w:val="18"/>
                      </w:rPr>
                    </w:pPr>
                    <w:r w:rsidRPr="00111557">
                      <w:rPr>
                        <w:sz w:val="18"/>
                      </w:rPr>
                      <w:t xml:space="preserve">Improving Assistance in Inclusive Educational Settings is a project funded by the </w:t>
                    </w:r>
                    <w:r w:rsidRPr="00111557">
                      <w:rPr>
                        <w:rStyle w:val="Strong"/>
                        <w:sz w:val="18"/>
                      </w:rPr>
                      <w:t>ERASMUS+ Programme of the European Union</w:t>
                    </w:r>
                    <w:r w:rsidRPr="00111557">
                      <w:rPr>
                        <w:sz w:val="18"/>
                      </w:rPr>
                      <w:t xml:space="preserve"> under Key Action 2: Cooperation for Innovation and the Exchange of Good Practices. Project Number: 2016-1-AT01-KA202-016778.</w:t>
                    </w:r>
                  </w:p>
                </w:txbxContent>
              </v:textbox>
            </v:shape>
          </w:pict>
        </mc:Fallback>
      </mc:AlternateContent>
    </w:r>
    <w:r>
      <w:rPr>
        <w:noProof/>
        <w:lang w:eastAsia="en-GB"/>
      </w:rPr>
      <w:drawing>
        <wp:anchor distT="0" distB="0" distL="114300" distR="114300" simplePos="0" relativeHeight="251658240" behindDoc="1" locked="0" layoutInCell="1" allowOverlap="1" wp14:anchorId="48A5252D" wp14:editId="02900C43">
          <wp:simplePos x="0" y="0"/>
          <wp:positionH relativeFrom="column">
            <wp:posOffset>6191250</wp:posOffset>
          </wp:positionH>
          <wp:positionV relativeFrom="paragraph">
            <wp:posOffset>-41910</wp:posOffset>
          </wp:positionV>
          <wp:extent cx="1933575" cy="414020"/>
          <wp:effectExtent l="0" t="0" r="9525" b="5080"/>
          <wp:wrapTight wrapText="bothSides">
            <wp:wrapPolygon edited="0">
              <wp:start x="0" y="0"/>
              <wp:lineTo x="0" y="20871"/>
              <wp:lineTo x="21494" y="20871"/>
              <wp:lineTo x="21494" y="0"/>
              <wp:lineTo x="0" y="0"/>
            </wp:wrapPolygon>
          </wp:wrapTight>
          <wp:docPr id="1" name="Picture 1" descr="P:\Logos &amp; maps\EU Program logos\ERASMUS+\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s &amp; maps\EU Program logos\ERASMUS+\Fund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3575" cy="4140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838" w:rsidRDefault="00F57838" w:rsidP="00111557">
      <w:pPr>
        <w:spacing w:after="0" w:line="240" w:lineRule="auto"/>
      </w:pPr>
      <w:r>
        <w:separator/>
      </w:r>
    </w:p>
  </w:footnote>
  <w:footnote w:type="continuationSeparator" w:id="0">
    <w:p w:rsidR="00F57838" w:rsidRDefault="00F57838" w:rsidP="001115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557" w:rsidRPr="009B4531" w:rsidRDefault="009B4531" w:rsidP="009B4531">
    <w:pPr>
      <w:pStyle w:val="Header"/>
      <w:rPr>
        <w:color w:val="002285"/>
      </w:rPr>
    </w:pPr>
    <w:r w:rsidRPr="009B4531">
      <w:rPr>
        <w:noProof/>
        <w:color w:val="002285"/>
        <w:lang w:eastAsia="en-GB"/>
      </w:rPr>
      <w:drawing>
        <wp:anchor distT="0" distB="0" distL="114300" distR="114300" simplePos="0" relativeHeight="251661312" behindDoc="1" locked="0" layoutInCell="1" allowOverlap="1" wp14:anchorId="0AC22AF8" wp14:editId="55F72184">
          <wp:simplePos x="0" y="0"/>
          <wp:positionH relativeFrom="column">
            <wp:posOffset>-790575</wp:posOffset>
          </wp:positionH>
          <wp:positionV relativeFrom="paragraph">
            <wp:posOffset>-392430</wp:posOffset>
          </wp:positionV>
          <wp:extent cx="735330" cy="885825"/>
          <wp:effectExtent l="0" t="0" r="0" b="0"/>
          <wp:wrapTight wrapText="bothSides">
            <wp:wrapPolygon edited="0">
              <wp:start x="8953" y="0"/>
              <wp:lineTo x="6155" y="1394"/>
              <wp:lineTo x="2238" y="6039"/>
              <wp:lineTo x="2238" y="8361"/>
              <wp:lineTo x="4477" y="15794"/>
              <wp:lineTo x="2238" y="18116"/>
              <wp:lineTo x="560" y="19510"/>
              <wp:lineTo x="560" y="20903"/>
              <wp:lineTo x="20705" y="20903"/>
              <wp:lineTo x="17907" y="16723"/>
              <wp:lineTo x="16788" y="15794"/>
              <wp:lineTo x="19585" y="6039"/>
              <wp:lineTo x="15109" y="1394"/>
              <wp:lineTo x="11751" y="0"/>
              <wp:lineTo x="8953" y="0"/>
            </wp:wrapPolygon>
          </wp:wrapTight>
          <wp:docPr id="3" name="Picture 3" descr="P:\Projects 2016\Erasmus+ - KA2 - SP - IMAS\Communication\Logo\IMAS logos - Final\IMAS logos - Final\IMAS logo - final - transparent background-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Projects 2016\Erasmus+ - KA2 - SP - IMAS\Communication\Logo\IMAS logos - Final\IMAS logos - Final\IMAS logo - final - transparent background-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533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4531">
      <w:rPr>
        <w:rFonts w:ascii="AvenirNext-DemiBold" w:hAnsi="AvenirNext-DemiBold" w:cs="AvenirNext-DemiBold"/>
        <w:b/>
        <w:bCs/>
        <w:color w:val="002285"/>
        <w:sz w:val="38"/>
        <w:szCs w:val="38"/>
      </w:rPr>
      <w:tab/>
    </w:r>
    <w:r w:rsidRPr="001A0151">
      <w:rPr>
        <w:rFonts w:ascii="AvenirNext-DemiBold" w:hAnsi="AvenirNext-DemiBold" w:cs="AvenirNext-DemiBold"/>
        <w:b/>
        <w:bCs/>
        <w:color w:val="002285"/>
        <w:sz w:val="26"/>
        <w:szCs w:val="38"/>
      </w:rPr>
      <w:t>Improving Assistance in Inclusive Educational Settings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239D"/>
    <w:multiLevelType w:val="hybridMultilevel"/>
    <w:tmpl w:val="D278E93A"/>
    <w:lvl w:ilvl="0" w:tplc="0407000F">
      <w:start w:val="1"/>
      <w:numFmt w:val="decimal"/>
      <w:lvlText w:val="%1."/>
      <w:lvlJc w:val="left"/>
      <w:pPr>
        <w:ind w:left="1800" w:hanging="360"/>
      </w:p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
    <w:nsid w:val="08C404D7"/>
    <w:multiLevelType w:val="hybridMultilevel"/>
    <w:tmpl w:val="1BF27AD2"/>
    <w:lvl w:ilvl="0" w:tplc="0407000F">
      <w:start w:val="4"/>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142A4D34"/>
    <w:multiLevelType w:val="hybridMultilevel"/>
    <w:tmpl w:val="6A5CE7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5AA59B5"/>
    <w:multiLevelType w:val="hybridMultilevel"/>
    <w:tmpl w:val="6F00BD42"/>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nsid w:val="195B6D19"/>
    <w:multiLevelType w:val="hybridMultilevel"/>
    <w:tmpl w:val="FD02F0E2"/>
    <w:lvl w:ilvl="0" w:tplc="0C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B7048B6"/>
    <w:multiLevelType w:val="hybridMultilevel"/>
    <w:tmpl w:val="12DE538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32773D17"/>
    <w:multiLevelType w:val="hybridMultilevel"/>
    <w:tmpl w:val="D35AE5A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7903B34"/>
    <w:multiLevelType w:val="hybridMultilevel"/>
    <w:tmpl w:val="6DA4B62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59A96BC3"/>
    <w:multiLevelType w:val="hybridMultilevel"/>
    <w:tmpl w:val="F2AC7BDA"/>
    <w:lvl w:ilvl="0" w:tplc="0C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5C2E187C"/>
    <w:multiLevelType w:val="hybridMultilevel"/>
    <w:tmpl w:val="1EE24A8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nsid w:val="5F465909"/>
    <w:multiLevelType w:val="hybridMultilevel"/>
    <w:tmpl w:val="F5C8C560"/>
    <w:lvl w:ilvl="0" w:tplc="4C4A3F5C">
      <w:start w:val="1"/>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nsid w:val="669072E8"/>
    <w:multiLevelType w:val="hybridMultilevel"/>
    <w:tmpl w:val="1B5A90C4"/>
    <w:lvl w:ilvl="0" w:tplc="0C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7863FBF"/>
    <w:multiLevelType w:val="hybridMultilevel"/>
    <w:tmpl w:val="88CA23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6AA452F9"/>
    <w:multiLevelType w:val="hybridMultilevel"/>
    <w:tmpl w:val="C6B4A1C6"/>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nsid w:val="6B8654CA"/>
    <w:multiLevelType w:val="hybridMultilevel"/>
    <w:tmpl w:val="C5DAB56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6D3309F8"/>
    <w:multiLevelType w:val="hybridMultilevel"/>
    <w:tmpl w:val="26E0CBF4"/>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nsid w:val="77E026EB"/>
    <w:multiLevelType w:val="hybridMultilevel"/>
    <w:tmpl w:val="4804157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7E9F6DF2"/>
    <w:multiLevelType w:val="hybridMultilevel"/>
    <w:tmpl w:val="48FC7DE0"/>
    <w:lvl w:ilvl="0" w:tplc="0C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10"/>
  </w:num>
  <w:num w:numId="3">
    <w:abstractNumId w:val="0"/>
  </w:num>
  <w:num w:numId="4">
    <w:abstractNumId w:val="6"/>
  </w:num>
  <w:num w:numId="5">
    <w:abstractNumId w:val="5"/>
  </w:num>
  <w:num w:numId="6">
    <w:abstractNumId w:val="16"/>
  </w:num>
  <w:num w:numId="7">
    <w:abstractNumId w:val="8"/>
  </w:num>
  <w:num w:numId="8">
    <w:abstractNumId w:val="11"/>
  </w:num>
  <w:num w:numId="9">
    <w:abstractNumId w:val="17"/>
  </w:num>
  <w:num w:numId="10">
    <w:abstractNumId w:val="4"/>
  </w:num>
  <w:num w:numId="11">
    <w:abstractNumId w:val="1"/>
  </w:num>
  <w:num w:numId="12">
    <w:abstractNumId w:val="15"/>
  </w:num>
  <w:num w:numId="13">
    <w:abstractNumId w:val="9"/>
  </w:num>
  <w:num w:numId="14">
    <w:abstractNumId w:val="13"/>
  </w:num>
  <w:num w:numId="15">
    <w:abstractNumId w:val="3"/>
  </w:num>
  <w:num w:numId="16">
    <w:abstractNumId w:val="2"/>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557"/>
    <w:rsid w:val="00004F5C"/>
    <w:rsid w:val="00024650"/>
    <w:rsid w:val="00031B34"/>
    <w:rsid w:val="00033F52"/>
    <w:rsid w:val="00044D73"/>
    <w:rsid w:val="00056416"/>
    <w:rsid w:val="00057878"/>
    <w:rsid w:val="00070C4E"/>
    <w:rsid w:val="000942C0"/>
    <w:rsid w:val="00097FBD"/>
    <w:rsid w:val="000B5EB8"/>
    <w:rsid w:val="000B774F"/>
    <w:rsid w:val="000C1607"/>
    <w:rsid w:val="000C1E9E"/>
    <w:rsid w:val="000D6243"/>
    <w:rsid w:val="000E6455"/>
    <w:rsid w:val="000F12B2"/>
    <w:rsid w:val="00100432"/>
    <w:rsid w:val="00101545"/>
    <w:rsid w:val="00111557"/>
    <w:rsid w:val="00120939"/>
    <w:rsid w:val="00145AF1"/>
    <w:rsid w:val="001567FA"/>
    <w:rsid w:val="00163FE1"/>
    <w:rsid w:val="001742FC"/>
    <w:rsid w:val="001A0151"/>
    <w:rsid w:val="001D113A"/>
    <w:rsid w:val="001E0AA4"/>
    <w:rsid w:val="001F3E17"/>
    <w:rsid w:val="001F5421"/>
    <w:rsid w:val="00202790"/>
    <w:rsid w:val="002115B7"/>
    <w:rsid w:val="00215114"/>
    <w:rsid w:val="00217BC2"/>
    <w:rsid w:val="002234E5"/>
    <w:rsid w:val="00227287"/>
    <w:rsid w:val="002418BB"/>
    <w:rsid w:val="0024371B"/>
    <w:rsid w:val="00246BCB"/>
    <w:rsid w:val="002675C9"/>
    <w:rsid w:val="00291908"/>
    <w:rsid w:val="002A68ED"/>
    <w:rsid w:val="002B436C"/>
    <w:rsid w:val="002D1063"/>
    <w:rsid w:val="002F5AD3"/>
    <w:rsid w:val="00321456"/>
    <w:rsid w:val="00330E4A"/>
    <w:rsid w:val="0035485A"/>
    <w:rsid w:val="00363378"/>
    <w:rsid w:val="003761FF"/>
    <w:rsid w:val="003A5330"/>
    <w:rsid w:val="003B3218"/>
    <w:rsid w:val="003B5060"/>
    <w:rsid w:val="003C3A5D"/>
    <w:rsid w:val="003D08E6"/>
    <w:rsid w:val="00417FD1"/>
    <w:rsid w:val="00431157"/>
    <w:rsid w:val="00452EE8"/>
    <w:rsid w:val="00463944"/>
    <w:rsid w:val="004663A5"/>
    <w:rsid w:val="0047391C"/>
    <w:rsid w:val="00476FF6"/>
    <w:rsid w:val="00481BF2"/>
    <w:rsid w:val="00492451"/>
    <w:rsid w:val="00494CA7"/>
    <w:rsid w:val="004D667F"/>
    <w:rsid w:val="004E5357"/>
    <w:rsid w:val="004E6622"/>
    <w:rsid w:val="004F6341"/>
    <w:rsid w:val="004F71D6"/>
    <w:rsid w:val="00503C94"/>
    <w:rsid w:val="005051E3"/>
    <w:rsid w:val="00514204"/>
    <w:rsid w:val="00515CC1"/>
    <w:rsid w:val="0052744D"/>
    <w:rsid w:val="00527EA9"/>
    <w:rsid w:val="00534F77"/>
    <w:rsid w:val="00554904"/>
    <w:rsid w:val="00565EE2"/>
    <w:rsid w:val="005716D5"/>
    <w:rsid w:val="00574C82"/>
    <w:rsid w:val="00594AFD"/>
    <w:rsid w:val="00596A06"/>
    <w:rsid w:val="005A0F65"/>
    <w:rsid w:val="005A55C5"/>
    <w:rsid w:val="005C1E98"/>
    <w:rsid w:val="005C2779"/>
    <w:rsid w:val="005C5093"/>
    <w:rsid w:val="005E4BFD"/>
    <w:rsid w:val="006219BB"/>
    <w:rsid w:val="0064797C"/>
    <w:rsid w:val="00654FF6"/>
    <w:rsid w:val="00660C18"/>
    <w:rsid w:val="00673593"/>
    <w:rsid w:val="006801F8"/>
    <w:rsid w:val="00693BDC"/>
    <w:rsid w:val="006949AF"/>
    <w:rsid w:val="006A36CD"/>
    <w:rsid w:val="006B2E8A"/>
    <w:rsid w:val="006C3ADF"/>
    <w:rsid w:val="006D4128"/>
    <w:rsid w:val="006D6CEB"/>
    <w:rsid w:val="006E0E6D"/>
    <w:rsid w:val="006E2486"/>
    <w:rsid w:val="006E29FC"/>
    <w:rsid w:val="006F34EE"/>
    <w:rsid w:val="0071045C"/>
    <w:rsid w:val="00736E0D"/>
    <w:rsid w:val="007560E8"/>
    <w:rsid w:val="007666BE"/>
    <w:rsid w:val="007757AE"/>
    <w:rsid w:val="00780426"/>
    <w:rsid w:val="00784B34"/>
    <w:rsid w:val="007A48CE"/>
    <w:rsid w:val="007A5777"/>
    <w:rsid w:val="007B0D63"/>
    <w:rsid w:val="007B3298"/>
    <w:rsid w:val="007B4F7A"/>
    <w:rsid w:val="007C0739"/>
    <w:rsid w:val="007C31F2"/>
    <w:rsid w:val="007E7238"/>
    <w:rsid w:val="007F07ED"/>
    <w:rsid w:val="00803487"/>
    <w:rsid w:val="008042DE"/>
    <w:rsid w:val="0082711C"/>
    <w:rsid w:val="00846256"/>
    <w:rsid w:val="00862E3F"/>
    <w:rsid w:val="00870386"/>
    <w:rsid w:val="00891BF3"/>
    <w:rsid w:val="008B25F8"/>
    <w:rsid w:val="008D19A3"/>
    <w:rsid w:val="008D28CC"/>
    <w:rsid w:val="008D5704"/>
    <w:rsid w:val="008D58BE"/>
    <w:rsid w:val="008E07FE"/>
    <w:rsid w:val="008E3495"/>
    <w:rsid w:val="008E7DED"/>
    <w:rsid w:val="00911159"/>
    <w:rsid w:val="00951243"/>
    <w:rsid w:val="009554CE"/>
    <w:rsid w:val="009602E8"/>
    <w:rsid w:val="00966C5C"/>
    <w:rsid w:val="00982FD9"/>
    <w:rsid w:val="009908A0"/>
    <w:rsid w:val="0099711C"/>
    <w:rsid w:val="009A0BBE"/>
    <w:rsid w:val="009A745A"/>
    <w:rsid w:val="009B2E23"/>
    <w:rsid w:val="009B4531"/>
    <w:rsid w:val="009C2B73"/>
    <w:rsid w:val="009E6AB1"/>
    <w:rsid w:val="009E7E0D"/>
    <w:rsid w:val="00A00B5B"/>
    <w:rsid w:val="00A1373E"/>
    <w:rsid w:val="00A17E5B"/>
    <w:rsid w:val="00A3749B"/>
    <w:rsid w:val="00A41DA2"/>
    <w:rsid w:val="00A426A3"/>
    <w:rsid w:val="00A44BE6"/>
    <w:rsid w:val="00A4773B"/>
    <w:rsid w:val="00A5029B"/>
    <w:rsid w:val="00A60ACC"/>
    <w:rsid w:val="00A6126F"/>
    <w:rsid w:val="00A61875"/>
    <w:rsid w:val="00A71B19"/>
    <w:rsid w:val="00A96DD4"/>
    <w:rsid w:val="00AB2514"/>
    <w:rsid w:val="00AC6960"/>
    <w:rsid w:val="00AD47D6"/>
    <w:rsid w:val="00AE345C"/>
    <w:rsid w:val="00AF6186"/>
    <w:rsid w:val="00B03979"/>
    <w:rsid w:val="00B14D1C"/>
    <w:rsid w:val="00B304E4"/>
    <w:rsid w:val="00B51494"/>
    <w:rsid w:val="00B52F7F"/>
    <w:rsid w:val="00B93EEB"/>
    <w:rsid w:val="00BB42C0"/>
    <w:rsid w:val="00BB6871"/>
    <w:rsid w:val="00C05105"/>
    <w:rsid w:val="00C06CF4"/>
    <w:rsid w:val="00C077BA"/>
    <w:rsid w:val="00C3022C"/>
    <w:rsid w:val="00C51D8A"/>
    <w:rsid w:val="00C52087"/>
    <w:rsid w:val="00C85F3C"/>
    <w:rsid w:val="00C866BA"/>
    <w:rsid w:val="00C90919"/>
    <w:rsid w:val="00C96BEF"/>
    <w:rsid w:val="00CA42D9"/>
    <w:rsid w:val="00CB32A8"/>
    <w:rsid w:val="00CC3B99"/>
    <w:rsid w:val="00CD073E"/>
    <w:rsid w:val="00D10051"/>
    <w:rsid w:val="00D12276"/>
    <w:rsid w:val="00D14D94"/>
    <w:rsid w:val="00D22ED6"/>
    <w:rsid w:val="00D416B5"/>
    <w:rsid w:val="00D4415D"/>
    <w:rsid w:val="00D67858"/>
    <w:rsid w:val="00D72E8D"/>
    <w:rsid w:val="00D77CE6"/>
    <w:rsid w:val="00D81017"/>
    <w:rsid w:val="00D93EFE"/>
    <w:rsid w:val="00D95C3A"/>
    <w:rsid w:val="00DA505C"/>
    <w:rsid w:val="00DA6030"/>
    <w:rsid w:val="00DB02BC"/>
    <w:rsid w:val="00DB47A6"/>
    <w:rsid w:val="00DB5531"/>
    <w:rsid w:val="00DB72C6"/>
    <w:rsid w:val="00DC0489"/>
    <w:rsid w:val="00DC11F8"/>
    <w:rsid w:val="00DC377F"/>
    <w:rsid w:val="00DC5443"/>
    <w:rsid w:val="00DC7BFD"/>
    <w:rsid w:val="00DE19CD"/>
    <w:rsid w:val="00E051C1"/>
    <w:rsid w:val="00E15450"/>
    <w:rsid w:val="00E20DAF"/>
    <w:rsid w:val="00E31E6B"/>
    <w:rsid w:val="00E34E29"/>
    <w:rsid w:val="00E46FC5"/>
    <w:rsid w:val="00E5440D"/>
    <w:rsid w:val="00E7290E"/>
    <w:rsid w:val="00E85368"/>
    <w:rsid w:val="00E9321E"/>
    <w:rsid w:val="00EA2F3C"/>
    <w:rsid w:val="00EA3342"/>
    <w:rsid w:val="00EA4D29"/>
    <w:rsid w:val="00EE30B8"/>
    <w:rsid w:val="00EF130D"/>
    <w:rsid w:val="00F57838"/>
    <w:rsid w:val="00F77ABB"/>
    <w:rsid w:val="00F81346"/>
    <w:rsid w:val="00F90340"/>
    <w:rsid w:val="00F91B37"/>
    <w:rsid w:val="00F971FC"/>
    <w:rsid w:val="00F972F1"/>
    <w:rsid w:val="00FA3D22"/>
    <w:rsid w:val="00FB5989"/>
    <w:rsid w:val="00FC3368"/>
    <w:rsid w:val="00FD6EF2"/>
    <w:rsid w:val="00FE6795"/>
    <w:rsid w:val="00FF7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F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5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1557"/>
  </w:style>
  <w:style w:type="paragraph" w:styleId="Footer">
    <w:name w:val="footer"/>
    <w:basedOn w:val="Normal"/>
    <w:link w:val="FooterChar"/>
    <w:uiPriority w:val="99"/>
    <w:unhideWhenUsed/>
    <w:rsid w:val="001115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1557"/>
  </w:style>
  <w:style w:type="paragraph" w:styleId="BalloonText">
    <w:name w:val="Balloon Text"/>
    <w:basedOn w:val="Normal"/>
    <w:link w:val="BalloonTextChar"/>
    <w:uiPriority w:val="99"/>
    <w:semiHidden/>
    <w:unhideWhenUsed/>
    <w:rsid w:val="001115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557"/>
    <w:rPr>
      <w:rFonts w:ascii="Tahoma" w:hAnsi="Tahoma" w:cs="Tahoma"/>
      <w:sz w:val="16"/>
      <w:szCs w:val="16"/>
    </w:rPr>
  </w:style>
  <w:style w:type="character" w:styleId="Strong">
    <w:name w:val="Strong"/>
    <w:basedOn w:val="DefaultParagraphFont"/>
    <w:uiPriority w:val="22"/>
    <w:qFormat/>
    <w:rsid w:val="00111557"/>
    <w:rPr>
      <w:b/>
      <w:bCs/>
    </w:rPr>
  </w:style>
  <w:style w:type="paragraph" w:styleId="ListParagraph">
    <w:name w:val="List Paragraph"/>
    <w:basedOn w:val="Normal"/>
    <w:uiPriority w:val="34"/>
    <w:qFormat/>
    <w:rsid w:val="006F34EE"/>
    <w:pPr>
      <w:spacing w:after="0"/>
      <w:ind w:left="720"/>
      <w:contextualSpacing/>
    </w:pPr>
    <w:rPr>
      <w:lang w:val="de-DE"/>
    </w:rPr>
  </w:style>
  <w:style w:type="character" w:customStyle="1" w:styleId="apple-converted-space">
    <w:name w:val="apple-converted-space"/>
    <w:basedOn w:val="DefaultParagraphFont"/>
    <w:rsid w:val="00C51D8A"/>
  </w:style>
  <w:style w:type="character" w:styleId="HTMLTypewriter">
    <w:name w:val="HTML Typewriter"/>
    <w:basedOn w:val="DefaultParagraphFont"/>
    <w:uiPriority w:val="99"/>
    <w:semiHidden/>
    <w:unhideWhenUsed/>
    <w:rsid w:val="000C1E9E"/>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46256"/>
    <w:rPr>
      <w:sz w:val="16"/>
      <w:szCs w:val="16"/>
    </w:rPr>
  </w:style>
  <w:style w:type="paragraph" w:styleId="CommentText">
    <w:name w:val="annotation text"/>
    <w:basedOn w:val="Normal"/>
    <w:link w:val="CommentTextChar"/>
    <w:uiPriority w:val="99"/>
    <w:semiHidden/>
    <w:unhideWhenUsed/>
    <w:rsid w:val="00846256"/>
    <w:pPr>
      <w:spacing w:line="240" w:lineRule="auto"/>
    </w:pPr>
    <w:rPr>
      <w:sz w:val="20"/>
      <w:szCs w:val="20"/>
    </w:rPr>
  </w:style>
  <w:style w:type="character" w:customStyle="1" w:styleId="CommentTextChar">
    <w:name w:val="Comment Text Char"/>
    <w:basedOn w:val="DefaultParagraphFont"/>
    <w:link w:val="CommentText"/>
    <w:uiPriority w:val="99"/>
    <w:semiHidden/>
    <w:rsid w:val="00846256"/>
    <w:rPr>
      <w:sz w:val="20"/>
      <w:szCs w:val="20"/>
    </w:rPr>
  </w:style>
  <w:style w:type="paragraph" w:styleId="CommentSubject">
    <w:name w:val="annotation subject"/>
    <w:basedOn w:val="CommentText"/>
    <w:next w:val="CommentText"/>
    <w:link w:val="CommentSubjectChar"/>
    <w:uiPriority w:val="99"/>
    <w:semiHidden/>
    <w:unhideWhenUsed/>
    <w:rsid w:val="00846256"/>
    <w:rPr>
      <w:b/>
      <w:bCs/>
    </w:rPr>
  </w:style>
  <w:style w:type="character" w:customStyle="1" w:styleId="CommentSubjectChar">
    <w:name w:val="Comment Subject Char"/>
    <w:basedOn w:val="CommentTextChar"/>
    <w:link w:val="CommentSubject"/>
    <w:uiPriority w:val="99"/>
    <w:semiHidden/>
    <w:rsid w:val="0084625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F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5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1557"/>
  </w:style>
  <w:style w:type="paragraph" w:styleId="Footer">
    <w:name w:val="footer"/>
    <w:basedOn w:val="Normal"/>
    <w:link w:val="FooterChar"/>
    <w:uiPriority w:val="99"/>
    <w:unhideWhenUsed/>
    <w:rsid w:val="001115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1557"/>
  </w:style>
  <w:style w:type="paragraph" w:styleId="BalloonText">
    <w:name w:val="Balloon Text"/>
    <w:basedOn w:val="Normal"/>
    <w:link w:val="BalloonTextChar"/>
    <w:uiPriority w:val="99"/>
    <w:semiHidden/>
    <w:unhideWhenUsed/>
    <w:rsid w:val="001115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557"/>
    <w:rPr>
      <w:rFonts w:ascii="Tahoma" w:hAnsi="Tahoma" w:cs="Tahoma"/>
      <w:sz w:val="16"/>
      <w:szCs w:val="16"/>
    </w:rPr>
  </w:style>
  <w:style w:type="character" w:styleId="Strong">
    <w:name w:val="Strong"/>
    <w:basedOn w:val="DefaultParagraphFont"/>
    <w:uiPriority w:val="22"/>
    <w:qFormat/>
    <w:rsid w:val="00111557"/>
    <w:rPr>
      <w:b/>
      <w:bCs/>
    </w:rPr>
  </w:style>
  <w:style w:type="paragraph" w:styleId="ListParagraph">
    <w:name w:val="List Paragraph"/>
    <w:basedOn w:val="Normal"/>
    <w:uiPriority w:val="34"/>
    <w:qFormat/>
    <w:rsid w:val="006F34EE"/>
    <w:pPr>
      <w:spacing w:after="0"/>
      <w:ind w:left="720"/>
      <w:contextualSpacing/>
    </w:pPr>
    <w:rPr>
      <w:lang w:val="de-DE"/>
    </w:rPr>
  </w:style>
  <w:style w:type="character" w:customStyle="1" w:styleId="apple-converted-space">
    <w:name w:val="apple-converted-space"/>
    <w:basedOn w:val="DefaultParagraphFont"/>
    <w:rsid w:val="00C51D8A"/>
  </w:style>
  <w:style w:type="character" w:styleId="HTMLTypewriter">
    <w:name w:val="HTML Typewriter"/>
    <w:basedOn w:val="DefaultParagraphFont"/>
    <w:uiPriority w:val="99"/>
    <w:semiHidden/>
    <w:unhideWhenUsed/>
    <w:rsid w:val="000C1E9E"/>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46256"/>
    <w:rPr>
      <w:sz w:val="16"/>
      <w:szCs w:val="16"/>
    </w:rPr>
  </w:style>
  <w:style w:type="paragraph" w:styleId="CommentText">
    <w:name w:val="annotation text"/>
    <w:basedOn w:val="Normal"/>
    <w:link w:val="CommentTextChar"/>
    <w:uiPriority w:val="99"/>
    <w:semiHidden/>
    <w:unhideWhenUsed/>
    <w:rsid w:val="00846256"/>
    <w:pPr>
      <w:spacing w:line="240" w:lineRule="auto"/>
    </w:pPr>
    <w:rPr>
      <w:sz w:val="20"/>
      <w:szCs w:val="20"/>
    </w:rPr>
  </w:style>
  <w:style w:type="character" w:customStyle="1" w:styleId="CommentTextChar">
    <w:name w:val="Comment Text Char"/>
    <w:basedOn w:val="DefaultParagraphFont"/>
    <w:link w:val="CommentText"/>
    <w:uiPriority w:val="99"/>
    <w:semiHidden/>
    <w:rsid w:val="00846256"/>
    <w:rPr>
      <w:sz w:val="20"/>
      <w:szCs w:val="20"/>
    </w:rPr>
  </w:style>
  <w:style w:type="paragraph" w:styleId="CommentSubject">
    <w:name w:val="annotation subject"/>
    <w:basedOn w:val="CommentText"/>
    <w:next w:val="CommentText"/>
    <w:link w:val="CommentSubjectChar"/>
    <w:uiPriority w:val="99"/>
    <w:semiHidden/>
    <w:unhideWhenUsed/>
    <w:rsid w:val="00846256"/>
    <w:rPr>
      <w:b/>
      <w:bCs/>
    </w:rPr>
  </w:style>
  <w:style w:type="character" w:customStyle="1" w:styleId="CommentSubjectChar">
    <w:name w:val="Comment Subject Char"/>
    <w:basedOn w:val="CommentTextChar"/>
    <w:link w:val="CommentSubject"/>
    <w:uiPriority w:val="99"/>
    <w:semiHidden/>
    <w:rsid w:val="008462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172009">
      <w:bodyDiv w:val="1"/>
      <w:marLeft w:val="0"/>
      <w:marRight w:val="0"/>
      <w:marTop w:val="0"/>
      <w:marBottom w:val="0"/>
      <w:divBdr>
        <w:top w:val="none" w:sz="0" w:space="0" w:color="auto"/>
        <w:left w:val="none" w:sz="0" w:space="0" w:color="auto"/>
        <w:bottom w:val="none" w:sz="0" w:space="0" w:color="auto"/>
        <w:right w:val="none" w:sz="0" w:space="0" w:color="auto"/>
      </w:divBdr>
    </w:div>
    <w:div w:id="210661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94461-8960-43E9-985B-24692D7B7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3125</Words>
  <Characters>17819</Characters>
  <Application>Microsoft Office Word</Application>
  <DocSecurity>0</DocSecurity>
  <Lines>148</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20903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Felix [EASPD]</dc:creator>
  <cp:lastModifiedBy>user</cp:lastModifiedBy>
  <cp:revision>2</cp:revision>
  <cp:lastPrinted>2017-11-21T14:30:00Z</cp:lastPrinted>
  <dcterms:created xsi:type="dcterms:W3CDTF">2018-01-20T12:27:00Z</dcterms:created>
  <dcterms:modified xsi:type="dcterms:W3CDTF">2018-01-20T12:27:00Z</dcterms:modified>
</cp:coreProperties>
</file>