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F6" w:rsidRDefault="001B5F3D" w:rsidP="006649B7">
      <w:pPr>
        <w:jc w:val="center"/>
        <w:rPr>
          <w:b/>
          <w:sz w:val="28"/>
          <w:szCs w:val="24"/>
          <w:lang w:val="en-US"/>
        </w:rPr>
      </w:pPr>
      <w:r w:rsidRPr="002A7CBD">
        <w:rPr>
          <w:b/>
          <w:sz w:val="28"/>
          <w:szCs w:val="24"/>
          <w:lang w:val="en-US"/>
        </w:rPr>
        <w:t xml:space="preserve"> S</w:t>
      </w:r>
      <w:r w:rsidR="008D7C10">
        <w:rPr>
          <w:b/>
          <w:sz w:val="28"/>
          <w:szCs w:val="24"/>
          <w:lang w:val="en-US"/>
        </w:rPr>
        <w:t>ystems for</w:t>
      </w:r>
      <w:r w:rsidR="00A36134" w:rsidRPr="002A7CBD">
        <w:rPr>
          <w:b/>
          <w:sz w:val="28"/>
          <w:szCs w:val="24"/>
          <w:lang w:val="en-US"/>
        </w:rPr>
        <w:t xml:space="preserve"> </w:t>
      </w:r>
      <w:r w:rsidR="0099681A">
        <w:rPr>
          <w:b/>
          <w:sz w:val="28"/>
          <w:szCs w:val="24"/>
          <w:lang w:val="en-US"/>
        </w:rPr>
        <w:t xml:space="preserve">supporting </w:t>
      </w:r>
      <w:r w:rsidR="00B500F6" w:rsidRPr="002A7CBD">
        <w:rPr>
          <w:b/>
          <w:sz w:val="28"/>
          <w:szCs w:val="24"/>
          <w:lang w:val="en-US"/>
        </w:rPr>
        <w:t>children’s learning and development</w:t>
      </w:r>
      <w:r w:rsidR="00B500F6">
        <w:rPr>
          <w:b/>
          <w:sz w:val="28"/>
          <w:szCs w:val="24"/>
          <w:lang w:val="en-US"/>
        </w:rPr>
        <w:t xml:space="preserve"> (0-18 years)</w:t>
      </w:r>
    </w:p>
    <w:p w:rsidR="00FB5FD8" w:rsidRPr="002A7CBD" w:rsidRDefault="00FB5FD8" w:rsidP="006649B7">
      <w:pPr>
        <w:jc w:val="center"/>
        <w:rPr>
          <w:b/>
          <w:sz w:val="28"/>
          <w:szCs w:val="24"/>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4A0" w:firstRow="1" w:lastRow="0" w:firstColumn="1" w:lastColumn="0" w:noHBand="0" w:noVBand="1"/>
      </w:tblPr>
      <w:tblGrid>
        <w:gridCol w:w="3652"/>
        <w:gridCol w:w="5560"/>
      </w:tblGrid>
      <w:tr w:rsidR="00B500F6" w:rsidTr="00B7271F">
        <w:tc>
          <w:tcPr>
            <w:tcW w:w="3652" w:type="dxa"/>
          </w:tcPr>
          <w:p w:rsidR="00B500F6" w:rsidRPr="002A7CBD" w:rsidRDefault="00B500F6" w:rsidP="004463FD">
            <w:pPr>
              <w:rPr>
                <w:b/>
                <w:lang w:val="en-US"/>
              </w:rPr>
            </w:pPr>
            <w:r w:rsidRPr="002A7CBD">
              <w:rPr>
                <w:b/>
                <w:lang w:val="en-US"/>
              </w:rPr>
              <w:t>Partner</w:t>
            </w:r>
          </w:p>
        </w:tc>
        <w:tc>
          <w:tcPr>
            <w:tcW w:w="5560" w:type="dxa"/>
          </w:tcPr>
          <w:p w:rsidR="00B500F6" w:rsidRDefault="00242D71" w:rsidP="004463FD">
            <w:pPr>
              <w:rPr>
                <w:lang w:val="en-US"/>
              </w:rPr>
            </w:pPr>
            <w:r>
              <w:rPr>
                <w:lang w:val="en-US"/>
              </w:rPr>
              <w:t>Centre for Studies on Inclusive Education (CSIE)</w:t>
            </w:r>
          </w:p>
        </w:tc>
      </w:tr>
      <w:tr w:rsidR="00B500F6" w:rsidTr="00B7271F">
        <w:tc>
          <w:tcPr>
            <w:tcW w:w="3652" w:type="dxa"/>
          </w:tcPr>
          <w:p w:rsidR="00B500F6" w:rsidRPr="002A7CBD" w:rsidRDefault="00B500F6" w:rsidP="004463FD">
            <w:pPr>
              <w:rPr>
                <w:b/>
                <w:lang w:val="en-US"/>
              </w:rPr>
            </w:pPr>
            <w:r w:rsidRPr="002A7CBD">
              <w:rPr>
                <w:b/>
                <w:lang w:val="en-US"/>
              </w:rPr>
              <w:t>Country</w:t>
            </w:r>
          </w:p>
        </w:tc>
        <w:tc>
          <w:tcPr>
            <w:tcW w:w="5560" w:type="dxa"/>
          </w:tcPr>
          <w:p w:rsidR="00B500F6" w:rsidRDefault="00242D71" w:rsidP="004463FD">
            <w:pPr>
              <w:rPr>
                <w:lang w:val="en-US"/>
              </w:rPr>
            </w:pPr>
            <w:r>
              <w:rPr>
                <w:lang w:val="en-US"/>
              </w:rPr>
              <w:t>England</w:t>
            </w:r>
            <w:bookmarkStart w:id="0" w:name="_GoBack"/>
            <w:bookmarkEnd w:id="0"/>
          </w:p>
        </w:tc>
      </w:tr>
      <w:tr w:rsidR="00B500F6" w:rsidRPr="00191158" w:rsidTr="00B7271F">
        <w:tc>
          <w:tcPr>
            <w:tcW w:w="3652" w:type="dxa"/>
          </w:tcPr>
          <w:p w:rsidR="00B500F6" w:rsidRPr="002A7CBD" w:rsidRDefault="00B500F6" w:rsidP="004463FD">
            <w:pPr>
              <w:rPr>
                <w:b/>
                <w:lang w:val="en-US"/>
              </w:rPr>
            </w:pPr>
            <w:r w:rsidRPr="002A7CBD">
              <w:rPr>
                <w:b/>
                <w:lang w:val="en-US"/>
              </w:rPr>
              <w:t xml:space="preserve">Background info </w:t>
            </w:r>
            <w:r w:rsidR="008B078C">
              <w:rPr>
                <w:b/>
                <w:lang w:val="en-US"/>
              </w:rPr>
              <w:t>to</w:t>
            </w:r>
            <w:r w:rsidRPr="002A7CBD">
              <w:rPr>
                <w:b/>
                <w:lang w:val="en-US"/>
              </w:rPr>
              <w:t xml:space="preserve"> the </w:t>
            </w:r>
            <w:r w:rsidR="00191158">
              <w:rPr>
                <w:b/>
                <w:lang w:val="en-US"/>
              </w:rPr>
              <w:t>educational</w:t>
            </w:r>
            <w:r w:rsidRPr="002A7CBD">
              <w:rPr>
                <w:b/>
                <w:lang w:val="en-US"/>
              </w:rPr>
              <w:t xml:space="preserve"> system</w:t>
            </w:r>
          </w:p>
          <w:p w:rsidR="00B500F6" w:rsidRDefault="00B500F6" w:rsidP="00035E00">
            <w:pPr>
              <w:rPr>
                <w:lang w:val="en-US"/>
              </w:rPr>
            </w:pPr>
            <w:r>
              <w:rPr>
                <w:lang w:val="en-US"/>
              </w:rPr>
              <w:t>(</w:t>
            </w:r>
            <w:r w:rsidR="00191158">
              <w:rPr>
                <w:lang w:val="en-US"/>
              </w:rPr>
              <w:t xml:space="preserve">e.g. </w:t>
            </w:r>
            <w:r w:rsidRPr="006649B7">
              <w:rPr>
                <w:lang w:val="en-US"/>
              </w:rPr>
              <w:t>https://www.european-agency.org/</w:t>
            </w:r>
            <w:r>
              <w:rPr>
                <w:lang w:val="en-US"/>
              </w:rPr>
              <w:t>)</w:t>
            </w:r>
          </w:p>
        </w:tc>
        <w:tc>
          <w:tcPr>
            <w:tcW w:w="5560" w:type="dxa"/>
          </w:tcPr>
          <w:p w:rsidR="00B500F6" w:rsidRDefault="00503D85" w:rsidP="004463FD">
            <w:pPr>
              <w:rPr>
                <w:lang w:val="en-US"/>
              </w:rPr>
            </w:pPr>
            <w:r w:rsidRPr="00503D85">
              <w:rPr>
                <w:lang w:val="en-US"/>
              </w:rPr>
              <w:t>https://www.gov.uk/government/publications/send-code-of-practice-0-to-25</w:t>
            </w:r>
          </w:p>
        </w:tc>
      </w:tr>
      <w:tr w:rsidR="00B500F6" w:rsidRPr="00191158" w:rsidTr="00B7271F">
        <w:trPr>
          <w:trHeight w:val="774"/>
        </w:trPr>
        <w:tc>
          <w:tcPr>
            <w:tcW w:w="3652" w:type="dxa"/>
          </w:tcPr>
          <w:p w:rsidR="00B500F6" w:rsidRDefault="00B500F6" w:rsidP="004463FD">
            <w:pPr>
              <w:rPr>
                <w:b/>
                <w:lang w:val="en-US"/>
              </w:rPr>
            </w:pPr>
            <w:r w:rsidRPr="002A7CBD">
              <w:rPr>
                <w:b/>
                <w:lang w:val="en-US"/>
              </w:rPr>
              <w:t>Methodological approach</w:t>
            </w:r>
          </w:p>
          <w:p w:rsidR="00191158" w:rsidRPr="00B7271F" w:rsidRDefault="00191158" w:rsidP="004463FD">
            <w:pPr>
              <w:rPr>
                <w:lang w:val="en-US"/>
              </w:rPr>
            </w:pPr>
            <w:r w:rsidRPr="00B7271F">
              <w:rPr>
                <w:lang w:val="en-US"/>
              </w:rPr>
              <w:t>(Please give information about how you got the information provided below)</w:t>
            </w:r>
          </w:p>
        </w:tc>
        <w:tc>
          <w:tcPr>
            <w:tcW w:w="5560" w:type="dxa"/>
          </w:tcPr>
          <w:p w:rsidR="00B500F6" w:rsidRDefault="00503D85" w:rsidP="004463FD">
            <w:pPr>
              <w:rPr>
                <w:lang w:val="en-US"/>
              </w:rPr>
            </w:pPr>
            <w:r>
              <w:rPr>
                <w:lang w:val="en-US"/>
              </w:rPr>
              <w:t>From knowledge of the system and reference to key ext</w:t>
            </w:r>
            <w:r w:rsidR="003A7102">
              <w:rPr>
                <w:lang w:val="en-US"/>
              </w:rPr>
              <w:t>racts from the Code of Practice (link above).</w:t>
            </w:r>
          </w:p>
        </w:tc>
      </w:tr>
    </w:tbl>
    <w:p w:rsidR="00A36134" w:rsidRDefault="00A36134" w:rsidP="006649B7">
      <w:pPr>
        <w:jc w:val="center"/>
        <w:rPr>
          <w:b/>
          <w:sz w:val="28"/>
          <w:szCs w:val="24"/>
          <w:lang w:val="en-US"/>
        </w:rPr>
      </w:pPr>
    </w:p>
    <w:p w:rsidR="006649B7" w:rsidRPr="006649B7" w:rsidRDefault="006649B7" w:rsidP="001C3D8E">
      <w:pPr>
        <w:spacing w:after="0"/>
        <w:rPr>
          <w:b/>
          <w:szCs w:val="24"/>
          <w:lang w:val="en-US"/>
        </w:rPr>
      </w:pPr>
      <w:r>
        <w:rPr>
          <w:b/>
          <w:szCs w:val="24"/>
          <w:lang w:val="en-US"/>
        </w:rPr>
        <w:t>Please fill out the dimension boxes in a narrative way</w:t>
      </w:r>
      <w:r w:rsidR="00716100">
        <w:rPr>
          <w:b/>
          <w:szCs w:val="24"/>
          <w:lang w:val="en-US"/>
        </w:rPr>
        <w:t>.</w:t>
      </w:r>
      <w:r>
        <w:rPr>
          <w:b/>
          <w:szCs w:val="24"/>
          <w:lang w:val="en-US"/>
        </w:rPr>
        <w:t xml:space="preserve"> (</w:t>
      </w:r>
      <w:proofErr w:type="gramStart"/>
      <w:r>
        <w:rPr>
          <w:b/>
          <w:szCs w:val="24"/>
          <w:lang w:val="en-US"/>
        </w:rPr>
        <w:t>for</w:t>
      </w:r>
      <w:proofErr w:type="gramEnd"/>
      <w:r>
        <w:rPr>
          <w:b/>
          <w:szCs w:val="24"/>
          <w:lang w:val="en-US"/>
        </w:rPr>
        <w:t xml:space="preserve"> example</w:t>
      </w:r>
      <w:r w:rsidR="00B500F6">
        <w:rPr>
          <w:b/>
          <w:szCs w:val="24"/>
          <w:lang w:val="en-US"/>
        </w:rPr>
        <w:t xml:space="preserve"> see: </w:t>
      </w:r>
      <w:r>
        <w:rPr>
          <w:b/>
          <w:szCs w:val="24"/>
          <w:lang w:val="en-US"/>
        </w:rPr>
        <w:t>p2i)</w:t>
      </w:r>
      <w:r w:rsidR="00B500F6">
        <w:rPr>
          <w:b/>
          <w:szCs w:val="24"/>
          <w:lang w:val="en-US"/>
        </w:rPr>
        <w:t xml:space="preserve"> </w:t>
      </w:r>
    </w:p>
    <w:tbl>
      <w:tblPr>
        <w:tblStyle w:val="TableGrid"/>
        <w:tblW w:w="999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tblCellMar>
        <w:tblLook w:val="04A0" w:firstRow="1" w:lastRow="0" w:firstColumn="1" w:lastColumn="0" w:noHBand="0" w:noVBand="1"/>
      </w:tblPr>
      <w:tblGrid>
        <w:gridCol w:w="1680"/>
        <w:gridCol w:w="120"/>
        <w:gridCol w:w="8190"/>
      </w:tblGrid>
      <w:tr w:rsidR="00A42356" w:rsidTr="00BA00C2">
        <w:tc>
          <w:tcPr>
            <w:tcW w:w="9990" w:type="dxa"/>
            <w:gridSpan w:val="3"/>
            <w:shd w:val="clear" w:color="auto" w:fill="D9D9D9" w:themeFill="background1" w:themeFillShade="D9"/>
          </w:tcPr>
          <w:p w:rsidR="00A42356" w:rsidRPr="00A42356" w:rsidRDefault="00A42356">
            <w:pPr>
              <w:rPr>
                <w:b/>
                <w:lang w:val="en-US"/>
              </w:rPr>
            </w:pPr>
            <w:r w:rsidRPr="00A42356">
              <w:rPr>
                <w:b/>
                <w:lang w:val="en-US"/>
              </w:rPr>
              <w:t>GENERAL</w:t>
            </w:r>
          </w:p>
        </w:tc>
      </w:tr>
      <w:tr w:rsidR="001B5F3D" w:rsidRPr="00AF02F2" w:rsidTr="00BA00C2">
        <w:tc>
          <w:tcPr>
            <w:tcW w:w="1800" w:type="dxa"/>
            <w:gridSpan w:val="2"/>
          </w:tcPr>
          <w:p w:rsidR="001B5F3D" w:rsidRPr="006649B7" w:rsidRDefault="001B5F3D">
            <w:pPr>
              <w:rPr>
                <w:b/>
                <w:lang w:val="en-US"/>
              </w:rPr>
            </w:pPr>
            <w:r w:rsidRPr="006649B7">
              <w:rPr>
                <w:b/>
                <w:lang w:val="en-US"/>
              </w:rPr>
              <w:t>Financial Framework of the services</w:t>
            </w:r>
          </w:p>
          <w:p w:rsidR="001B5F3D" w:rsidRDefault="001B5F3D">
            <w:pPr>
              <w:rPr>
                <w:lang w:val="en-US"/>
              </w:rPr>
            </w:pPr>
            <w:r>
              <w:rPr>
                <w:lang w:val="en-US"/>
              </w:rPr>
              <w:t>(Who is financing the service?)</w:t>
            </w:r>
          </w:p>
          <w:p w:rsidR="008D7C10" w:rsidRDefault="008D7C10">
            <w:pPr>
              <w:rPr>
                <w:lang w:val="en-US"/>
              </w:rPr>
            </w:pPr>
          </w:p>
        </w:tc>
        <w:tc>
          <w:tcPr>
            <w:tcW w:w="8190" w:type="dxa"/>
          </w:tcPr>
          <w:p w:rsidR="0092585E" w:rsidRDefault="00191158" w:rsidP="00D60F2E">
            <w:pPr>
              <w:pBdr>
                <w:bottom w:val="single" w:sz="4" w:space="1" w:color="auto"/>
              </w:pBdr>
              <w:rPr>
                <w:i/>
                <w:lang w:val="en-US"/>
              </w:rPr>
            </w:pPr>
            <w:r w:rsidRPr="00D60F2E">
              <w:rPr>
                <w:i/>
                <w:lang w:val="en-US"/>
              </w:rPr>
              <w:t>Current state:</w:t>
            </w:r>
            <w:r w:rsidR="007B45E9">
              <w:rPr>
                <w:i/>
                <w:lang w:val="en-US"/>
              </w:rPr>
              <w:t xml:space="preserve"> </w:t>
            </w:r>
          </w:p>
          <w:p w:rsidR="0092585E" w:rsidRDefault="007B45E9" w:rsidP="00D60F2E">
            <w:pPr>
              <w:pBdr>
                <w:bottom w:val="single" w:sz="4" w:space="1" w:color="auto"/>
              </w:pBdr>
              <w:rPr>
                <w:i/>
                <w:lang w:val="en-US"/>
              </w:rPr>
            </w:pPr>
            <w:r>
              <w:rPr>
                <w:i/>
                <w:lang w:val="en-US"/>
              </w:rPr>
              <w:t xml:space="preserve">Each school has its own budget and </w:t>
            </w:r>
            <w:r w:rsidR="0092585E">
              <w:rPr>
                <w:i/>
                <w:lang w:val="en-US"/>
              </w:rPr>
              <w:t>learning supporters’</w:t>
            </w:r>
            <w:r w:rsidR="00412455">
              <w:rPr>
                <w:i/>
                <w:lang w:val="en-US"/>
              </w:rPr>
              <w:t xml:space="preserve"> salaries are paid from it.  For pupils who have an Education and Health Care Plan sometimes additional funds are allocated for learning sup</w:t>
            </w:r>
            <w:r w:rsidR="00C9019A">
              <w:rPr>
                <w:i/>
                <w:lang w:val="en-US"/>
              </w:rPr>
              <w:t xml:space="preserve">port, but </w:t>
            </w:r>
            <w:r w:rsidR="00412455">
              <w:rPr>
                <w:i/>
                <w:lang w:val="en-US"/>
              </w:rPr>
              <w:t>the threshold is high</w:t>
            </w:r>
            <w:r w:rsidR="00C9019A">
              <w:rPr>
                <w:i/>
                <w:lang w:val="en-US"/>
              </w:rPr>
              <w:t xml:space="preserve">: </w:t>
            </w:r>
            <w:r w:rsidR="00412455">
              <w:rPr>
                <w:i/>
                <w:lang w:val="en-US"/>
              </w:rPr>
              <w:t xml:space="preserve"> </w:t>
            </w:r>
            <w:r w:rsidR="00C9019A">
              <w:rPr>
                <w:i/>
                <w:lang w:val="en-US"/>
              </w:rPr>
              <w:t>schools have to find the first £6,000 per pupil per year from their own budget.</w:t>
            </w:r>
          </w:p>
          <w:p w:rsidR="001723AF" w:rsidRDefault="001723AF" w:rsidP="00D60F2E">
            <w:pPr>
              <w:pBdr>
                <w:bottom w:val="single" w:sz="4" w:space="1" w:color="auto"/>
              </w:pBdr>
              <w:rPr>
                <w:i/>
                <w:lang w:val="en-US"/>
              </w:rPr>
            </w:pPr>
          </w:p>
          <w:p w:rsidR="001B5F3D" w:rsidRDefault="0092585E" w:rsidP="00D60F2E">
            <w:pPr>
              <w:pBdr>
                <w:bottom w:val="single" w:sz="4" w:space="1" w:color="auto"/>
              </w:pBdr>
              <w:rPr>
                <w:i/>
                <w:lang w:val="en-US"/>
              </w:rPr>
            </w:pPr>
            <w:r>
              <w:rPr>
                <w:i/>
                <w:lang w:val="en-US"/>
              </w:rPr>
              <w:t>The way schools in England are funded is currently under review.  In order to address historic inequalities, a new national funding formula is being proposed and there is currently an open government consultation on it (</w:t>
            </w:r>
            <w:hyperlink r:id="rId9" w:history="1">
              <w:r w:rsidRPr="00D0213B">
                <w:rPr>
                  <w:rStyle w:val="Hyperlink"/>
                  <w:i/>
                  <w:lang w:val="en-US"/>
                </w:rPr>
                <w:t>https://www.gov.uk/government/consultations/schools-national-funding-formula-stage-2</w:t>
              </w:r>
            </w:hyperlink>
            <w:r>
              <w:rPr>
                <w:i/>
                <w:lang w:val="en-US"/>
              </w:rPr>
              <w:t xml:space="preserve">). A helpful overview of the whole issue is available at </w:t>
            </w:r>
            <w:hyperlink r:id="rId10" w:history="1">
              <w:r w:rsidR="00C87BAE" w:rsidRPr="00D0213B">
                <w:rPr>
                  <w:rStyle w:val="Hyperlink"/>
                  <w:i/>
                  <w:lang w:val="en-US"/>
                </w:rPr>
                <w:t>http://researchbriefings.parliament.uk/ResearchBriefing/Summary/SN06702</w:t>
              </w:r>
            </w:hyperlink>
            <w:r w:rsidR="00261F46">
              <w:rPr>
                <w:i/>
                <w:lang w:val="en-US"/>
              </w:rPr>
              <w:t>,</w:t>
            </w:r>
            <w:r w:rsidR="00C9019A">
              <w:rPr>
                <w:i/>
                <w:lang w:val="en-US"/>
              </w:rPr>
              <w:t xml:space="preserve"> with a link to the full report, and at </w:t>
            </w:r>
            <w:hyperlink r:id="rId11" w:history="1">
              <w:r w:rsidR="00C9019A" w:rsidRPr="00D0213B">
                <w:rPr>
                  <w:rStyle w:val="Hyperlink"/>
                  <w:i/>
                  <w:lang w:val="en-US"/>
                </w:rPr>
                <w:t>https://consult.education.gov.uk/funding-policy-unit/schools-national-funding-formula/supporting_documents/Current_funding_system.pdf</w:t>
              </w:r>
            </w:hyperlink>
            <w:r w:rsidR="00C9019A">
              <w:rPr>
                <w:i/>
                <w:lang w:val="en-US"/>
              </w:rPr>
              <w:t>.</w:t>
            </w:r>
          </w:p>
          <w:p w:rsidR="00C9019A" w:rsidRDefault="00C9019A" w:rsidP="00D60F2E">
            <w:pPr>
              <w:pBdr>
                <w:bottom w:val="single" w:sz="4" w:space="1" w:color="auto"/>
              </w:pBdr>
              <w:rPr>
                <w:i/>
                <w:lang w:val="en-US"/>
              </w:rPr>
            </w:pPr>
          </w:p>
          <w:p w:rsidR="00D60F2E" w:rsidRPr="00D60F2E" w:rsidRDefault="00D60F2E" w:rsidP="00D60F2E">
            <w:pPr>
              <w:pBdr>
                <w:bottom w:val="single" w:sz="4" w:space="1" w:color="auto"/>
              </w:pBdr>
              <w:rPr>
                <w:i/>
                <w:lang w:val="en-US"/>
              </w:rPr>
            </w:pPr>
          </w:p>
          <w:p w:rsidR="00191158" w:rsidRDefault="00191158">
            <w:pPr>
              <w:rPr>
                <w:lang w:val="en-US"/>
              </w:rPr>
            </w:pPr>
          </w:p>
          <w:p w:rsidR="00191158" w:rsidRPr="00D60F2E" w:rsidRDefault="00191158">
            <w:pPr>
              <w:rPr>
                <w:lang w:val="en-US"/>
              </w:rPr>
            </w:pPr>
            <w:r w:rsidRPr="00D60F2E">
              <w:rPr>
                <w:i/>
                <w:lang w:val="en-US"/>
              </w:rPr>
              <w:t>Sources:</w:t>
            </w:r>
            <w:r w:rsidR="00C55350">
              <w:rPr>
                <w:i/>
                <w:lang w:val="en-US"/>
              </w:rPr>
              <w:t xml:space="preserve"> included above</w:t>
            </w:r>
          </w:p>
          <w:p w:rsidR="00D60F2E" w:rsidRPr="00D60F2E" w:rsidRDefault="00D60F2E" w:rsidP="00D60F2E">
            <w:pPr>
              <w:pBdr>
                <w:bottom w:val="single" w:sz="4" w:space="1" w:color="auto"/>
              </w:pBdr>
              <w:rPr>
                <w:i/>
                <w:lang w:val="en-US"/>
              </w:rPr>
            </w:pPr>
          </w:p>
          <w:p w:rsidR="00191158" w:rsidRDefault="00191158">
            <w:pPr>
              <w:rPr>
                <w:lang w:val="en-US"/>
              </w:rPr>
            </w:pPr>
          </w:p>
          <w:p w:rsidR="00191158" w:rsidRPr="00D60F2E" w:rsidRDefault="00191158">
            <w:pPr>
              <w:rPr>
                <w:lang w:val="en-US"/>
              </w:rPr>
            </w:pPr>
            <w:r w:rsidRPr="00D60F2E">
              <w:rPr>
                <w:i/>
                <w:lang w:val="en-US"/>
              </w:rPr>
              <w:t>Comments:</w:t>
            </w:r>
            <w:r w:rsidR="001742E6">
              <w:rPr>
                <w:i/>
                <w:lang w:val="en-US"/>
              </w:rPr>
              <w:t xml:space="preserve"> Happy to provide further information if needed.</w:t>
            </w:r>
          </w:p>
          <w:p w:rsidR="006649B7" w:rsidRDefault="006649B7">
            <w:pPr>
              <w:rPr>
                <w:lang w:val="en-US"/>
              </w:rPr>
            </w:pPr>
          </w:p>
          <w:p w:rsidR="00D60F2E" w:rsidRDefault="00D60F2E">
            <w:pPr>
              <w:rPr>
                <w:lang w:val="en-US"/>
              </w:rPr>
            </w:pPr>
          </w:p>
        </w:tc>
      </w:tr>
      <w:tr w:rsidR="001B5F3D" w:rsidRPr="00AF02F2" w:rsidTr="00BA00C2">
        <w:tc>
          <w:tcPr>
            <w:tcW w:w="1800" w:type="dxa"/>
            <w:gridSpan w:val="2"/>
          </w:tcPr>
          <w:p w:rsidR="001B5F3D" w:rsidRDefault="00BE0405">
            <w:pPr>
              <w:rPr>
                <w:b/>
                <w:lang w:val="en-US"/>
              </w:rPr>
            </w:pPr>
            <w:r w:rsidRPr="006649B7">
              <w:rPr>
                <w:b/>
                <w:lang w:val="en-US"/>
              </w:rPr>
              <w:t>Organization</w:t>
            </w:r>
            <w:r w:rsidR="001B5F3D" w:rsidRPr="006649B7">
              <w:rPr>
                <w:b/>
                <w:lang w:val="en-US"/>
              </w:rPr>
              <w:t>/Admin of the service</w:t>
            </w:r>
          </w:p>
          <w:p w:rsidR="006649B7" w:rsidRDefault="006649B7">
            <w:pPr>
              <w:rPr>
                <w:lang w:val="en-US"/>
              </w:rPr>
            </w:pPr>
            <w:r w:rsidRPr="006649B7">
              <w:rPr>
                <w:lang w:val="en-US"/>
              </w:rPr>
              <w:lastRenderedPageBreak/>
              <w:t>(Who is offering the service)</w:t>
            </w:r>
          </w:p>
          <w:p w:rsidR="008D7C10" w:rsidRPr="006649B7" w:rsidRDefault="008D7C10">
            <w:pPr>
              <w:rPr>
                <w:lang w:val="en-US"/>
              </w:rPr>
            </w:pPr>
          </w:p>
        </w:tc>
        <w:tc>
          <w:tcPr>
            <w:tcW w:w="8190" w:type="dxa"/>
          </w:tcPr>
          <w:p w:rsidR="00A21C25" w:rsidRDefault="00D60F2E" w:rsidP="00D60F2E">
            <w:pPr>
              <w:pBdr>
                <w:bottom w:val="single" w:sz="4" w:space="1" w:color="auto"/>
              </w:pBdr>
              <w:rPr>
                <w:i/>
                <w:lang w:val="en-US"/>
              </w:rPr>
            </w:pPr>
            <w:r w:rsidRPr="00D60F2E">
              <w:rPr>
                <w:i/>
                <w:lang w:val="en-US"/>
              </w:rPr>
              <w:lastRenderedPageBreak/>
              <w:t>Current state:</w:t>
            </w:r>
            <w:r w:rsidR="00C41ECC">
              <w:rPr>
                <w:i/>
                <w:lang w:val="en-US"/>
              </w:rPr>
              <w:t xml:space="preserve"> </w:t>
            </w:r>
          </w:p>
          <w:p w:rsidR="00D60F2E" w:rsidRDefault="00C41ECC" w:rsidP="00D60F2E">
            <w:pPr>
              <w:pBdr>
                <w:bottom w:val="single" w:sz="4" w:space="1" w:color="auto"/>
              </w:pBdr>
              <w:rPr>
                <w:i/>
                <w:lang w:val="en-US"/>
              </w:rPr>
            </w:pPr>
            <w:r>
              <w:rPr>
                <w:i/>
                <w:lang w:val="en-US"/>
              </w:rPr>
              <w:t>There is no national service for providing learning supporters. Schools are responsible for their own recruitment.</w:t>
            </w:r>
          </w:p>
          <w:p w:rsidR="00A21C25" w:rsidRPr="00D60F2E" w:rsidRDefault="00A21C25" w:rsidP="00D60F2E">
            <w:pPr>
              <w:pBdr>
                <w:bottom w:val="single" w:sz="4" w:space="1" w:color="auto"/>
              </w:pBdr>
              <w:rPr>
                <w:lang w:val="en-US"/>
              </w:rPr>
            </w:pPr>
            <w:r>
              <w:rPr>
                <w:i/>
                <w:lang w:val="en-US"/>
              </w:rPr>
              <w:lastRenderedPageBreak/>
              <w:t xml:space="preserve">The role is referred to by many </w:t>
            </w:r>
            <w:proofErr w:type="gramStart"/>
            <w:r>
              <w:rPr>
                <w:i/>
                <w:lang w:val="en-US"/>
              </w:rPr>
              <w:t>names,</w:t>
            </w:r>
            <w:proofErr w:type="gramEnd"/>
            <w:r>
              <w:rPr>
                <w:i/>
                <w:lang w:val="en-US"/>
              </w:rPr>
              <w:t xml:space="preserve"> I have used the general ‘learning supporters’ in this form.  They are sometimes referred to as ‘teaching assistants’, to distinguish from ‘classroom assistants’ who are often found in early years and have more of a pastoral brief, concerned with children’s well-being and also putting up displays and other tasks not related to supporting pupils’ learning.</w:t>
            </w:r>
          </w:p>
          <w:p w:rsidR="00D60F2E" w:rsidRDefault="00D60F2E" w:rsidP="00D60F2E">
            <w:pPr>
              <w:pBdr>
                <w:bottom w:val="single" w:sz="4" w:space="1" w:color="auto"/>
              </w:pBdr>
              <w:rPr>
                <w:i/>
                <w:lang w:val="en-US"/>
              </w:rPr>
            </w:pP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r w:rsidR="00CA6200">
              <w:rPr>
                <w:i/>
                <w:lang w:val="en-US"/>
              </w:rPr>
              <w:t xml:space="preserve"> Personal professional knowledge.</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1B5F3D" w:rsidRDefault="001B5F3D">
            <w:pPr>
              <w:rPr>
                <w:lang w:val="en-US"/>
              </w:rPr>
            </w:pPr>
          </w:p>
          <w:p w:rsidR="00B7271F" w:rsidRDefault="00B7271F">
            <w:pPr>
              <w:rPr>
                <w:lang w:val="en-US"/>
              </w:rPr>
            </w:pPr>
          </w:p>
        </w:tc>
      </w:tr>
      <w:tr w:rsidR="001B5F3D" w:rsidRPr="00AF02F2" w:rsidTr="00BA00C2">
        <w:tc>
          <w:tcPr>
            <w:tcW w:w="1800" w:type="dxa"/>
            <w:gridSpan w:val="2"/>
          </w:tcPr>
          <w:p w:rsidR="002A7CBD" w:rsidRPr="00D80D19" w:rsidRDefault="00191158" w:rsidP="002A7CBD">
            <w:pPr>
              <w:rPr>
                <w:b/>
                <w:lang w:val="en-US"/>
              </w:rPr>
            </w:pPr>
            <w:r>
              <w:rPr>
                <w:b/>
                <w:lang w:val="en-US"/>
              </w:rPr>
              <w:lastRenderedPageBreak/>
              <w:t>Cooperation of the supporters</w:t>
            </w:r>
            <w:r w:rsidR="002A7CBD" w:rsidRPr="00D80D19">
              <w:rPr>
                <w:b/>
                <w:lang w:val="en-US"/>
              </w:rPr>
              <w:t xml:space="preserve"> with other staff (teachers, parents, therapists etc.) </w:t>
            </w:r>
          </w:p>
          <w:p w:rsidR="008D7C10" w:rsidRDefault="008D7C10" w:rsidP="00FB5FD8">
            <w:pPr>
              <w:rPr>
                <w:lang w:val="en-US"/>
              </w:rPr>
            </w:pPr>
          </w:p>
        </w:tc>
        <w:tc>
          <w:tcPr>
            <w:tcW w:w="8190" w:type="dxa"/>
          </w:tcPr>
          <w:p w:rsidR="00D60F2E" w:rsidRPr="00D60F2E" w:rsidRDefault="00D60F2E" w:rsidP="00D60F2E">
            <w:pPr>
              <w:pBdr>
                <w:bottom w:val="single" w:sz="4" w:space="1" w:color="auto"/>
              </w:pBdr>
              <w:rPr>
                <w:lang w:val="en-US"/>
              </w:rPr>
            </w:pPr>
            <w:r w:rsidRPr="00D60F2E">
              <w:rPr>
                <w:i/>
                <w:lang w:val="en-US"/>
              </w:rPr>
              <w:t>Current state:</w:t>
            </w:r>
          </w:p>
          <w:p w:rsidR="00D60F2E" w:rsidRDefault="00C41ECC" w:rsidP="00D60F2E">
            <w:pPr>
              <w:pBdr>
                <w:bottom w:val="single" w:sz="4" w:space="1" w:color="auto"/>
              </w:pBdr>
              <w:rPr>
                <w:i/>
                <w:lang w:val="en-US"/>
              </w:rPr>
            </w:pPr>
            <w:r>
              <w:rPr>
                <w:i/>
                <w:lang w:val="en-US"/>
              </w:rPr>
              <w:t>This varies enormously from area to area and from school to school.  In a nutshell, some schools value their learning support</w:t>
            </w:r>
            <w:r w:rsidR="00CA6200">
              <w:rPr>
                <w:i/>
                <w:lang w:val="en-US"/>
              </w:rPr>
              <w:t xml:space="preserve">ers more, while </w:t>
            </w:r>
            <w:r>
              <w:rPr>
                <w:i/>
                <w:lang w:val="en-US"/>
              </w:rPr>
              <w:t>in others they are perceived to be quite low in the organizational hierarchy.</w:t>
            </w:r>
            <w:r w:rsidR="00CA6200">
              <w:rPr>
                <w:i/>
                <w:lang w:val="en-US"/>
              </w:rPr>
              <w:t xml:space="preserve">  Therapists, for example occupational therapists or speech &amp; language therapists employed by the local health authority and working with school staff, tend to have higher status possibly due to their qualifications and salary levels.</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r w:rsidR="00C41ECC">
              <w:rPr>
                <w:i/>
                <w:lang w:val="en-US"/>
              </w:rPr>
              <w:t xml:space="preserve">  Personal professional knowledge.</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1B5F3D" w:rsidRDefault="001B5F3D">
            <w:pPr>
              <w:rPr>
                <w:lang w:val="en-US"/>
              </w:rPr>
            </w:pPr>
          </w:p>
          <w:p w:rsidR="00B7271F" w:rsidRDefault="00B7271F">
            <w:pPr>
              <w:rPr>
                <w:lang w:val="en-US"/>
              </w:rPr>
            </w:pPr>
          </w:p>
        </w:tc>
      </w:tr>
      <w:tr w:rsidR="001B5F3D" w:rsidRPr="00AF02F2" w:rsidTr="00BA00C2">
        <w:tc>
          <w:tcPr>
            <w:tcW w:w="1800" w:type="dxa"/>
            <w:gridSpan w:val="2"/>
          </w:tcPr>
          <w:p w:rsidR="008D7C10" w:rsidRPr="00D80D19" w:rsidRDefault="008D7C10" w:rsidP="008D7C10">
            <w:pPr>
              <w:rPr>
                <w:b/>
                <w:lang w:val="en-US"/>
              </w:rPr>
            </w:pPr>
            <w:r w:rsidRPr="00D80D19">
              <w:rPr>
                <w:b/>
                <w:lang w:val="en-US"/>
              </w:rPr>
              <w:t>Target groups of supporters</w:t>
            </w:r>
          </w:p>
          <w:p w:rsidR="001B5F3D" w:rsidRDefault="008D7C10">
            <w:pPr>
              <w:rPr>
                <w:lang w:val="en-US"/>
              </w:rPr>
            </w:pPr>
            <w:r>
              <w:rPr>
                <w:lang w:val="en-US"/>
              </w:rPr>
              <w:t>(With whom they are working?)</w:t>
            </w:r>
          </w:p>
          <w:p w:rsidR="008D7C10" w:rsidRDefault="008D7C10">
            <w:pPr>
              <w:rPr>
                <w:lang w:val="en-US"/>
              </w:rPr>
            </w:pPr>
          </w:p>
        </w:tc>
        <w:tc>
          <w:tcPr>
            <w:tcW w:w="8190" w:type="dxa"/>
          </w:tcPr>
          <w:p w:rsidR="00D60F2E" w:rsidRPr="00D60F2E" w:rsidRDefault="00D60F2E" w:rsidP="00D60F2E">
            <w:pPr>
              <w:pBdr>
                <w:bottom w:val="single" w:sz="4" w:space="1" w:color="auto"/>
              </w:pBdr>
              <w:rPr>
                <w:lang w:val="en-US"/>
              </w:rPr>
            </w:pPr>
            <w:r w:rsidRPr="00D60F2E">
              <w:rPr>
                <w:i/>
                <w:lang w:val="en-US"/>
              </w:rPr>
              <w:t>Current state:</w:t>
            </w:r>
          </w:p>
          <w:p w:rsidR="00D60F2E" w:rsidRDefault="00A049E8" w:rsidP="00D60F2E">
            <w:pPr>
              <w:pBdr>
                <w:bottom w:val="single" w:sz="4" w:space="1" w:color="auto"/>
              </w:pBdr>
              <w:rPr>
                <w:i/>
                <w:lang w:val="en-US"/>
              </w:rPr>
            </w:pPr>
            <w:r>
              <w:rPr>
                <w:i/>
                <w:lang w:val="en-US"/>
              </w:rPr>
              <w:t>Learning supporters work w</w:t>
            </w:r>
            <w:r w:rsidR="007C089D">
              <w:rPr>
                <w:i/>
                <w:lang w:val="en-US"/>
              </w:rPr>
              <w:t xml:space="preserve">ith pupils identified as needing additional learning support.  By now most schools have a pool of </w:t>
            </w:r>
            <w:proofErr w:type="gramStart"/>
            <w:r w:rsidR="007C089D">
              <w:rPr>
                <w:i/>
                <w:lang w:val="en-US"/>
              </w:rPr>
              <w:t>learning</w:t>
            </w:r>
            <w:proofErr w:type="gramEnd"/>
            <w:r w:rsidR="007C089D">
              <w:rPr>
                <w:i/>
                <w:lang w:val="en-US"/>
              </w:rPr>
              <w:t xml:space="preserve"> supporters who are assigned </w:t>
            </w:r>
            <w:r>
              <w:rPr>
                <w:i/>
                <w:lang w:val="en-US"/>
              </w:rPr>
              <w:t xml:space="preserve">specific </w:t>
            </w:r>
            <w:r w:rsidR="007C089D">
              <w:rPr>
                <w:i/>
                <w:lang w:val="en-US"/>
              </w:rPr>
              <w:t>duties</w:t>
            </w:r>
            <w:r>
              <w:rPr>
                <w:i/>
                <w:lang w:val="en-US"/>
              </w:rPr>
              <w:t xml:space="preserve"> </w:t>
            </w:r>
            <w:r w:rsidR="007C089D">
              <w:rPr>
                <w:i/>
                <w:lang w:val="en-US"/>
              </w:rPr>
              <w:t>– some schools operate a 1:1 model, assigning a particular learning supporter to individual children, while others adopt a more collaborative approach.</w:t>
            </w:r>
            <w:r>
              <w:rPr>
                <w:i/>
                <w:lang w:val="en-US"/>
              </w:rPr>
              <w:t xml:space="preserve"> It is quite common for </w:t>
            </w:r>
            <w:proofErr w:type="gramStart"/>
            <w:r>
              <w:rPr>
                <w:i/>
                <w:lang w:val="en-US"/>
              </w:rPr>
              <w:t>learning</w:t>
            </w:r>
            <w:proofErr w:type="gramEnd"/>
            <w:r>
              <w:rPr>
                <w:i/>
                <w:lang w:val="en-US"/>
              </w:rPr>
              <w:t xml:space="preserve"> supporters to withdraw children from class for 1:1 or small group work, or to work with one or more children when the whole class is working in small groups.</w:t>
            </w:r>
            <w:r w:rsidR="00DF538E">
              <w:rPr>
                <w:i/>
                <w:lang w:val="en-US"/>
              </w:rPr>
              <w:t xml:space="preserve">  </w:t>
            </w:r>
          </w:p>
          <w:p w:rsidR="00DF538E" w:rsidRPr="00D60F2E" w:rsidRDefault="00DF538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r w:rsidR="007C089D">
              <w:rPr>
                <w:i/>
                <w:lang w:val="en-US"/>
              </w:rPr>
              <w:t xml:space="preserve"> Personal professional knowledge.</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1B5F3D" w:rsidRDefault="001B5F3D">
            <w:pPr>
              <w:rPr>
                <w:lang w:val="en-US"/>
              </w:rPr>
            </w:pPr>
          </w:p>
          <w:p w:rsidR="00B7271F" w:rsidRDefault="00B7271F">
            <w:pPr>
              <w:rPr>
                <w:lang w:val="en-US"/>
              </w:rPr>
            </w:pPr>
          </w:p>
        </w:tc>
      </w:tr>
      <w:tr w:rsidR="00FB5FD8" w:rsidRPr="00AF02F2" w:rsidTr="00BA00C2">
        <w:tc>
          <w:tcPr>
            <w:tcW w:w="1800" w:type="dxa"/>
            <w:gridSpan w:val="2"/>
          </w:tcPr>
          <w:p w:rsidR="00FB5FD8" w:rsidRPr="00D80D19" w:rsidRDefault="00FB5FD8" w:rsidP="00FB5FD8">
            <w:pPr>
              <w:contextualSpacing/>
              <w:rPr>
                <w:b/>
                <w:lang w:val="en-US"/>
              </w:rPr>
            </w:pPr>
            <w:r w:rsidRPr="00D80D19">
              <w:rPr>
                <w:b/>
                <w:lang w:val="en-US"/>
              </w:rPr>
              <w:t xml:space="preserve">Qualification requirements </w:t>
            </w:r>
          </w:p>
          <w:p w:rsidR="00FB5FD8" w:rsidRDefault="00FB5FD8" w:rsidP="00FB5FD8">
            <w:pPr>
              <w:contextualSpacing/>
              <w:rPr>
                <w:lang w:val="en-US"/>
              </w:rPr>
            </w:pPr>
            <w:r>
              <w:rPr>
                <w:lang w:val="en-US"/>
              </w:rPr>
              <w:t xml:space="preserve">(What are the </w:t>
            </w:r>
            <w:r w:rsidR="00191158">
              <w:rPr>
                <w:lang w:val="en-US"/>
              </w:rPr>
              <w:t xml:space="preserve">official </w:t>
            </w:r>
            <w:r>
              <w:rPr>
                <w:lang w:val="en-US"/>
              </w:rPr>
              <w:lastRenderedPageBreak/>
              <w:t>requirements that someone can work as a supporter?)</w:t>
            </w:r>
          </w:p>
          <w:p w:rsidR="00FB5FD8" w:rsidRPr="00D80D19" w:rsidRDefault="00FB5FD8" w:rsidP="008D7C10">
            <w:pPr>
              <w:rPr>
                <w:b/>
                <w:lang w:val="en-US"/>
              </w:rPr>
            </w:pPr>
          </w:p>
        </w:tc>
        <w:tc>
          <w:tcPr>
            <w:tcW w:w="8190" w:type="dxa"/>
          </w:tcPr>
          <w:p w:rsidR="00D60F2E" w:rsidRPr="00D60F2E" w:rsidRDefault="00D60F2E" w:rsidP="00D60F2E">
            <w:pPr>
              <w:pBdr>
                <w:bottom w:val="single" w:sz="4" w:space="1" w:color="auto"/>
              </w:pBdr>
              <w:rPr>
                <w:lang w:val="en-US"/>
              </w:rPr>
            </w:pPr>
            <w:r w:rsidRPr="00D60F2E">
              <w:rPr>
                <w:i/>
                <w:lang w:val="en-US"/>
              </w:rPr>
              <w:lastRenderedPageBreak/>
              <w:t>Current state:</w:t>
            </w:r>
            <w:r w:rsidR="00C41ECC">
              <w:rPr>
                <w:i/>
                <w:lang w:val="en-US"/>
              </w:rPr>
              <w:t xml:space="preserve"> </w:t>
            </w:r>
          </w:p>
          <w:p w:rsidR="00D60F2E" w:rsidRDefault="00BA554E" w:rsidP="00D60F2E">
            <w:pPr>
              <w:pBdr>
                <w:bottom w:val="single" w:sz="4" w:space="1" w:color="auto"/>
              </w:pBdr>
              <w:rPr>
                <w:i/>
                <w:lang w:val="en-US"/>
              </w:rPr>
            </w:pPr>
            <w:r>
              <w:rPr>
                <w:i/>
                <w:lang w:val="en-US"/>
              </w:rPr>
              <w:t>Individual schools can decide what, if any, qualifications to specify when recruiting.  Most learning supporters would have GCSEs and A-</w:t>
            </w:r>
            <w:proofErr w:type="gramStart"/>
            <w:r>
              <w:rPr>
                <w:i/>
                <w:lang w:val="en-US"/>
              </w:rPr>
              <w:t>levels,</w:t>
            </w:r>
            <w:proofErr w:type="gramEnd"/>
            <w:r>
              <w:rPr>
                <w:i/>
                <w:lang w:val="en-US"/>
              </w:rPr>
              <w:t xml:space="preserve"> some also have a vocational qualification, for example </w:t>
            </w:r>
            <w:r w:rsidR="00A817DC">
              <w:rPr>
                <w:i/>
                <w:lang w:val="en-US"/>
              </w:rPr>
              <w:t xml:space="preserve">a City &amp; Guilds qualification.  </w:t>
            </w:r>
            <w:r w:rsidR="00F56FE5">
              <w:rPr>
                <w:i/>
                <w:lang w:val="en-US"/>
              </w:rPr>
              <w:t xml:space="preserve">Since 2003 there has been an </w:t>
            </w:r>
            <w:r w:rsidR="00F56FE5">
              <w:rPr>
                <w:i/>
                <w:lang w:val="en-US"/>
              </w:rPr>
              <w:lastRenderedPageBreak/>
              <w:t>advanced qualification for Higher Level Teaching Assistants (HLTA).  Qualified HLTAs have greater responsibilities, for example are allowed to teach a class on their own to cover for planned absence</w:t>
            </w:r>
            <w:r w:rsidR="00186060">
              <w:rPr>
                <w:i/>
                <w:lang w:val="en-US"/>
              </w:rPr>
              <w:t xml:space="preserve">s or teacher planning, </w:t>
            </w:r>
            <w:r w:rsidR="00F56FE5">
              <w:rPr>
                <w:i/>
                <w:lang w:val="en-US"/>
              </w:rPr>
              <w:t>preparation</w:t>
            </w:r>
            <w:r w:rsidR="00186060">
              <w:rPr>
                <w:i/>
                <w:lang w:val="en-US"/>
              </w:rPr>
              <w:t xml:space="preserve"> and assessment</w:t>
            </w:r>
            <w:r w:rsidR="003C32D5">
              <w:rPr>
                <w:i/>
                <w:lang w:val="en-US"/>
              </w:rPr>
              <w:t xml:space="preserve"> (PPA)</w:t>
            </w:r>
            <w:r w:rsidR="00F56FE5">
              <w:rPr>
                <w:i/>
                <w:lang w:val="en-US"/>
              </w:rPr>
              <w:t xml:space="preserve"> time.</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A817DC" w:rsidRDefault="00D60F2E" w:rsidP="00D60F2E">
            <w:pPr>
              <w:rPr>
                <w:i/>
                <w:lang w:val="en-US"/>
              </w:rPr>
            </w:pPr>
            <w:r w:rsidRPr="00D60F2E">
              <w:rPr>
                <w:i/>
                <w:lang w:val="en-US"/>
              </w:rPr>
              <w:t>Sources:</w:t>
            </w:r>
            <w:r w:rsidR="00C41ECC">
              <w:rPr>
                <w:i/>
                <w:lang w:val="en-US"/>
              </w:rPr>
              <w:t xml:space="preserve"> Personal professional knowledge.  </w:t>
            </w:r>
          </w:p>
          <w:p w:rsidR="00D60F2E" w:rsidRDefault="00C41ECC" w:rsidP="00D60F2E">
            <w:pPr>
              <w:rPr>
                <w:i/>
                <w:lang w:val="en-US"/>
              </w:rPr>
            </w:pPr>
            <w:r>
              <w:rPr>
                <w:i/>
                <w:lang w:val="en-US"/>
              </w:rPr>
              <w:t xml:space="preserve">Info on HLTAs: </w:t>
            </w:r>
          </w:p>
          <w:p w:rsidR="008B0171" w:rsidRDefault="00F338A8" w:rsidP="00D60F2E">
            <w:pPr>
              <w:rPr>
                <w:lang w:val="en-US"/>
              </w:rPr>
            </w:pPr>
            <w:hyperlink r:id="rId12" w:history="1">
              <w:r w:rsidR="00066AFF" w:rsidRPr="00D0213B">
                <w:rPr>
                  <w:rStyle w:val="Hyperlink"/>
                  <w:lang w:val="en-US"/>
                </w:rPr>
                <w:t>http://webarchive.nationalarchives.gov.uk/20130401151715/http://www.education.gov.uk/publications/eOrderingDownload/TDA0420.pdf</w:t>
              </w:r>
            </w:hyperlink>
            <w:r w:rsidR="00066AFF">
              <w:rPr>
                <w:lang w:val="en-US"/>
              </w:rPr>
              <w:t xml:space="preserve"> </w:t>
            </w:r>
          </w:p>
          <w:p w:rsidR="00A817DC" w:rsidRDefault="00A817DC" w:rsidP="00D60F2E">
            <w:pPr>
              <w:rPr>
                <w:lang w:val="en-US"/>
              </w:rPr>
            </w:pPr>
            <w:r>
              <w:rPr>
                <w:lang w:val="en-US"/>
              </w:rPr>
              <w:t xml:space="preserve">Info on City &amp; Guilds qualification for learning supporters: </w:t>
            </w:r>
          </w:p>
          <w:p w:rsidR="00A817DC" w:rsidRPr="00D60F2E" w:rsidRDefault="00F338A8" w:rsidP="00D60F2E">
            <w:pPr>
              <w:rPr>
                <w:lang w:val="en-US"/>
              </w:rPr>
            </w:pPr>
            <w:hyperlink r:id="rId13" w:anchor="tab=information" w:history="1">
              <w:r w:rsidR="00A817DC" w:rsidRPr="00D0213B">
                <w:rPr>
                  <w:rStyle w:val="Hyperlink"/>
                  <w:lang w:val="en-US"/>
                </w:rPr>
                <w:t>http://www.cityandguilds.com/qualifications-and-apprenticeships/learning/learning-support/5329-supporting-teaching-and-learning-in-schools#tab=information</w:t>
              </w:r>
            </w:hyperlink>
            <w:r w:rsidR="00A817DC">
              <w:rPr>
                <w:lang w:val="en-US"/>
              </w:rPr>
              <w:t xml:space="preserve"> </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FB5FD8" w:rsidRDefault="00FB5FD8">
            <w:pPr>
              <w:rPr>
                <w:lang w:val="en-US"/>
              </w:rPr>
            </w:pPr>
          </w:p>
          <w:p w:rsidR="00B7271F" w:rsidRDefault="00B7271F">
            <w:pPr>
              <w:rPr>
                <w:lang w:val="en-US"/>
              </w:rPr>
            </w:pPr>
          </w:p>
        </w:tc>
      </w:tr>
      <w:tr w:rsidR="004C7D23" w:rsidRPr="004C7D23" w:rsidTr="002B722B">
        <w:trPr>
          <w:trHeight w:val="4173"/>
        </w:trPr>
        <w:tc>
          <w:tcPr>
            <w:tcW w:w="1800" w:type="dxa"/>
            <w:gridSpan w:val="2"/>
          </w:tcPr>
          <w:p w:rsidR="004C7D23" w:rsidRPr="00093BC4" w:rsidRDefault="004C7D23" w:rsidP="00446967">
            <w:pPr>
              <w:contextualSpacing/>
              <w:rPr>
                <w:b/>
                <w:lang w:val="en-US"/>
              </w:rPr>
            </w:pPr>
            <w:r>
              <w:rPr>
                <w:b/>
                <w:lang w:val="en-US"/>
              </w:rPr>
              <w:lastRenderedPageBreak/>
              <w:t>L</w:t>
            </w:r>
            <w:r w:rsidRPr="00093BC4">
              <w:rPr>
                <w:b/>
                <w:lang w:val="en-US"/>
              </w:rPr>
              <w:t xml:space="preserve">egal status </w:t>
            </w:r>
          </w:p>
          <w:p w:rsidR="004C7D23" w:rsidRPr="00A36134" w:rsidRDefault="004C7D23" w:rsidP="00446967">
            <w:pPr>
              <w:contextualSpacing/>
              <w:rPr>
                <w:lang w:val="en-US"/>
              </w:rPr>
            </w:pPr>
            <w:r>
              <w:rPr>
                <w:lang w:val="en-US"/>
              </w:rPr>
              <w:t>(Which laws are affected?)</w:t>
            </w:r>
          </w:p>
          <w:p w:rsidR="004C7D23" w:rsidRDefault="004C7D23" w:rsidP="00446967">
            <w:pPr>
              <w:rPr>
                <w:lang w:val="en-US"/>
              </w:rPr>
            </w:pPr>
          </w:p>
        </w:tc>
        <w:tc>
          <w:tcPr>
            <w:tcW w:w="8190" w:type="dxa"/>
          </w:tcPr>
          <w:p w:rsidR="00D60F2E" w:rsidRPr="00D60F2E" w:rsidRDefault="00D60F2E" w:rsidP="00D60F2E">
            <w:pPr>
              <w:pBdr>
                <w:bottom w:val="single" w:sz="4" w:space="1" w:color="auto"/>
              </w:pBdr>
              <w:rPr>
                <w:lang w:val="en-US"/>
              </w:rPr>
            </w:pPr>
            <w:r w:rsidRPr="00D60F2E">
              <w:rPr>
                <w:i/>
                <w:lang w:val="en-US"/>
              </w:rPr>
              <w:t>Current state:</w:t>
            </w:r>
          </w:p>
          <w:p w:rsidR="00D60F2E" w:rsidRDefault="00DF538E" w:rsidP="00D60F2E">
            <w:pPr>
              <w:pBdr>
                <w:bottom w:val="single" w:sz="4" w:space="1" w:color="auto"/>
              </w:pBdr>
              <w:rPr>
                <w:i/>
                <w:lang w:val="en-US"/>
              </w:rPr>
            </w:pPr>
            <w:r>
              <w:rPr>
                <w:i/>
                <w:lang w:val="en-US"/>
              </w:rPr>
              <w:t>Part 3 of the Children and Families Act 2014, with accompanying statutory guidance (see Code of Practice, above).</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r w:rsidR="00DF538E">
              <w:rPr>
                <w:i/>
                <w:lang w:val="en-US"/>
              </w:rPr>
              <w:t xml:space="preserve"> </w:t>
            </w:r>
            <w:hyperlink r:id="rId14" w:history="1">
              <w:r w:rsidR="00DF538E" w:rsidRPr="00D0213B">
                <w:rPr>
                  <w:rStyle w:val="Hyperlink"/>
                  <w:i/>
                  <w:lang w:val="en-US"/>
                </w:rPr>
                <w:t>http://www.legislation.gov.uk/ukpga/2014/6/contents/enacted</w:t>
              </w:r>
            </w:hyperlink>
            <w:r w:rsidR="00DF538E">
              <w:rPr>
                <w:i/>
                <w:lang w:val="en-US"/>
              </w:rPr>
              <w:t xml:space="preserve"> </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4C7D23" w:rsidRDefault="004C7D23" w:rsidP="00446967">
            <w:pPr>
              <w:rPr>
                <w:lang w:val="en-US"/>
              </w:rPr>
            </w:pPr>
          </w:p>
          <w:p w:rsidR="00B7271F" w:rsidRDefault="00B7271F" w:rsidP="00446967">
            <w:pPr>
              <w:rPr>
                <w:lang w:val="en-US"/>
              </w:rPr>
            </w:pPr>
          </w:p>
        </w:tc>
      </w:tr>
      <w:tr w:rsidR="00A42356" w:rsidTr="00BA00C2">
        <w:tc>
          <w:tcPr>
            <w:tcW w:w="9990" w:type="dxa"/>
            <w:gridSpan w:val="3"/>
            <w:shd w:val="clear" w:color="auto" w:fill="D9D9D9" w:themeFill="background1" w:themeFillShade="D9"/>
          </w:tcPr>
          <w:p w:rsidR="00A42356" w:rsidRDefault="00A42356">
            <w:pPr>
              <w:rPr>
                <w:lang w:val="en-US"/>
              </w:rPr>
            </w:pPr>
            <w:r w:rsidRPr="002A7CBD">
              <w:rPr>
                <w:b/>
                <w:lang w:val="en-US"/>
              </w:rPr>
              <w:t>TASKS</w:t>
            </w:r>
          </w:p>
        </w:tc>
      </w:tr>
      <w:tr w:rsidR="001B5F3D" w:rsidRPr="00AF02F2" w:rsidTr="00BA00C2">
        <w:tc>
          <w:tcPr>
            <w:tcW w:w="1680" w:type="dxa"/>
          </w:tcPr>
          <w:p w:rsidR="001B5F3D" w:rsidRDefault="002A7CBD">
            <w:pPr>
              <w:rPr>
                <w:b/>
                <w:lang w:val="en-US"/>
              </w:rPr>
            </w:pPr>
            <w:r w:rsidRPr="00D80D19">
              <w:rPr>
                <w:b/>
                <w:lang w:val="en-US"/>
              </w:rPr>
              <w:t>Aims and Tasks of supporters</w:t>
            </w:r>
          </w:p>
          <w:p w:rsidR="002A7CBD" w:rsidRPr="002A7CBD" w:rsidRDefault="002A7CBD" w:rsidP="002A7CBD">
            <w:pPr>
              <w:pStyle w:val="ListParagraph"/>
              <w:numPr>
                <w:ilvl w:val="0"/>
                <w:numId w:val="2"/>
              </w:numPr>
              <w:rPr>
                <w:lang w:val="en-US"/>
              </w:rPr>
            </w:pPr>
            <w:r w:rsidRPr="002A7CBD">
              <w:rPr>
                <w:lang w:val="en-US"/>
              </w:rPr>
              <w:t>Principles/ official guidelines (What are they supposed to do?)</w:t>
            </w:r>
          </w:p>
          <w:p w:rsidR="002A7CBD" w:rsidRDefault="002A7CBD" w:rsidP="002A7CBD">
            <w:pPr>
              <w:contextualSpacing/>
              <w:rPr>
                <w:lang w:val="en-US"/>
              </w:rPr>
            </w:pPr>
          </w:p>
        </w:tc>
        <w:tc>
          <w:tcPr>
            <w:tcW w:w="8310" w:type="dxa"/>
            <w:gridSpan w:val="2"/>
          </w:tcPr>
          <w:p w:rsidR="00D60F2E" w:rsidRDefault="00D60F2E" w:rsidP="00D60F2E">
            <w:pPr>
              <w:pBdr>
                <w:bottom w:val="single" w:sz="4" w:space="1" w:color="auto"/>
              </w:pBdr>
              <w:rPr>
                <w:i/>
                <w:lang w:val="en-US"/>
              </w:rPr>
            </w:pPr>
            <w:r w:rsidRPr="00D60F2E">
              <w:rPr>
                <w:i/>
                <w:lang w:val="en-US"/>
              </w:rPr>
              <w:t>Current state:</w:t>
            </w:r>
          </w:p>
          <w:p w:rsidR="00E74032" w:rsidRDefault="00E74032" w:rsidP="00D60F2E">
            <w:pPr>
              <w:pBdr>
                <w:bottom w:val="single" w:sz="4" w:space="1" w:color="auto"/>
              </w:pBdr>
              <w:rPr>
                <w:i/>
                <w:lang w:val="en-US"/>
              </w:rPr>
            </w:pPr>
            <w:r>
              <w:rPr>
                <w:i/>
                <w:lang w:val="en-US"/>
              </w:rPr>
              <w:t>Learning supporters are expected to help specific pupils access the curriculum and reach their learning goals.  The official line is:</w:t>
            </w:r>
          </w:p>
          <w:p w:rsidR="00E74032" w:rsidRPr="00D60F2E" w:rsidRDefault="00E74032" w:rsidP="00D60F2E">
            <w:pPr>
              <w:pBdr>
                <w:bottom w:val="single" w:sz="4" w:space="1" w:color="auto"/>
              </w:pBdr>
              <w:rPr>
                <w:lang w:val="en-US"/>
              </w:rPr>
            </w:pPr>
            <w:r>
              <w:t>6.36 Teachers are responsible and accountable for the progress and development of the pupils in their class, including where pupils access support from teaching assistants or specialist staff.</w:t>
            </w:r>
          </w:p>
          <w:p w:rsidR="00D60F2E" w:rsidRDefault="00D60F2E" w:rsidP="00D60F2E">
            <w:pPr>
              <w:pBdr>
                <w:bottom w:val="single" w:sz="4" w:space="1" w:color="auto"/>
              </w:pBdr>
              <w:rPr>
                <w:i/>
                <w:lang w:val="en-US"/>
              </w:rPr>
            </w:pP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r w:rsidR="0093232A">
              <w:rPr>
                <w:i/>
                <w:lang w:val="en-US"/>
              </w:rPr>
              <w:t xml:space="preserve"> This quote is from the Code of Practice (link above)</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1B5F3D" w:rsidRDefault="001B5F3D">
            <w:pPr>
              <w:rPr>
                <w:lang w:val="en-US"/>
              </w:rPr>
            </w:pPr>
          </w:p>
          <w:p w:rsidR="00B7271F" w:rsidRDefault="00B7271F">
            <w:pPr>
              <w:rPr>
                <w:lang w:val="en-US"/>
              </w:rPr>
            </w:pPr>
          </w:p>
        </w:tc>
      </w:tr>
      <w:tr w:rsidR="002A7CBD" w:rsidRPr="00AF02F2" w:rsidTr="00BA00C2">
        <w:tc>
          <w:tcPr>
            <w:tcW w:w="1680" w:type="dxa"/>
          </w:tcPr>
          <w:p w:rsidR="002A7CBD" w:rsidRPr="002A7CBD" w:rsidRDefault="002A7CBD" w:rsidP="002A7CBD">
            <w:pPr>
              <w:pStyle w:val="ListParagraph"/>
              <w:numPr>
                <w:ilvl w:val="0"/>
                <w:numId w:val="1"/>
              </w:numPr>
              <w:rPr>
                <w:lang w:val="en-US"/>
              </w:rPr>
            </w:pPr>
            <w:r w:rsidRPr="002A7CBD">
              <w:rPr>
                <w:lang w:val="en-US"/>
              </w:rPr>
              <w:lastRenderedPageBreak/>
              <w:t>Practical (What are they really doing?)</w:t>
            </w:r>
          </w:p>
          <w:p w:rsidR="002A7CBD" w:rsidRDefault="002A7CBD">
            <w:pPr>
              <w:rPr>
                <w:lang w:val="en-US"/>
              </w:rPr>
            </w:pPr>
          </w:p>
        </w:tc>
        <w:tc>
          <w:tcPr>
            <w:tcW w:w="8310" w:type="dxa"/>
            <w:gridSpan w:val="2"/>
          </w:tcPr>
          <w:p w:rsidR="00D60F2E" w:rsidRPr="00D60F2E" w:rsidRDefault="00D60F2E" w:rsidP="00D60F2E">
            <w:pPr>
              <w:pBdr>
                <w:bottom w:val="single" w:sz="4" w:space="1" w:color="auto"/>
              </w:pBdr>
              <w:rPr>
                <w:lang w:val="en-US"/>
              </w:rPr>
            </w:pPr>
            <w:r w:rsidRPr="00D60F2E">
              <w:rPr>
                <w:i/>
                <w:lang w:val="en-US"/>
              </w:rPr>
              <w:t>Current state:</w:t>
            </w:r>
          </w:p>
          <w:p w:rsidR="00D60F2E" w:rsidRDefault="00E74032" w:rsidP="00D60F2E">
            <w:pPr>
              <w:pBdr>
                <w:bottom w:val="single" w:sz="4" w:space="1" w:color="auto"/>
              </w:pBdr>
              <w:rPr>
                <w:i/>
                <w:lang w:val="en-US"/>
              </w:rPr>
            </w:pPr>
            <w:r>
              <w:rPr>
                <w:i/>
                <w:lang w:val="en-US"/>
              </w:rPr>
              <w:t>It is widespread practice for teachers to wash their hands off these pupils’ learning and delegate all responsibility to the learning supporter.  Even in schools which include pupils with significant learning difficulties, there are differences of opinion as to whose responsibility it is to differentiate the curriculum and prepare resources.</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r w:rsidR="00E74032">
              <w:rPr>
                <w:i/>
                <w:lang w:val="en-US"/>
              </w:rPr>
              <w:t xml:space="preserve">  Personal professional knowledge.  </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2A7CBD" w:rsidRDefault="002A7CBD">
            <w:pPr>
              <w:rPr>
                <w:lang w:val="en-US"/>
              </w:rPr>
            </w:pPr>
          </w:p>
          <w:p w:rsidR="00B7271F" w:rsidRDefault="00B7271F">
            <w:pPr>
              <w:rPr>
                <w:lang w:val="en-US"/>
              </w:rPr>
            </w:pPr>
          </w:p>
        </w:tc>
      </w:tr>
      <w:tr w:rsidR="00FB5FD8" w:rsidRPr="00AF02F2" w:rsidTr="00BA00C2">
        <w:tc>
          <w:tcPr>
            <w:tcW w:w="1680" w:type="dxa"/>
          </w:tcPr>
          <w:p w:rsidR="00FB5FD8" w:rsidRPr="00FB5FD8" w:rsidRDefault="00FB5FD8" w:rsidP="00FB5FD8">
            <w:pPr>
              <w:rPr>
                <w:lang w:val="en-US"/>
              </w:rPr>
            </w:pPr>
            <w:r w:rsidRPr="00FB5FD8">
              <w:rPr>
                <w:b/>
                <w:lang w:val="en-US"/>
              </w:rPr>
              <w:t>Access to information</w:t>
            </w:r>
            <w:r w:rsidRPr="00FB5FD8">
              <w:rPr>
                <w:lang w:val="en-US"/>
              </w:rPr>
              <w:t xml:space="preserve"> (Which information they get?) </w:t>
            </w:r>
          </w:p>
          <w:p w:rsidR="00FB5FD8" w:rsidRDefault="00FB5FD8" w:rsidP="00FB5FD8">
            <w:pPr>
              <w:pStyle w:val="ListParagraph"/>
              <w:ind w:left="360"/>
              <w:rPr>
                <w:b/>
                <w:lang w:val="en-US"/>
              </w:rPr>
            </w:pPr>
          </w:p>
        </w:tc>
        <w:tc>
          <w:tcPr>
            <w:tcW w:w="8310" w:type="dxa"/>
            <w:gridSpan w:val="2"/>
          </w:tcPr>
          <w:p w:rsidR="00D60F2E" w:rsidRPr="00D60F2E" w:rsidRDefault="00D60F2E" w:rsidP="00D60F2E">
            <w:pPr>
              <w:pBdr>
                <w:bottom w:val="single" w:sz="4" w:space="1" w:color="auto"/>
              </w:pBdr>
              <w:rPr>
                <w:lang w:val="en-US"/>
              </w:rPr>
            </w:pPr>
            <w:r w:rsidRPr="00D60F2E">
              <w:rPr>
                <w:i/>
                <w:lang w:val="en-US"/>
              </w:rPr>
              <w:t>Current state:</w:t>
            </w:r>
          </w:p>
          <w:p w:rsidR="00D60F2E" w:rsidRDefault="00E74032" w:rsidP="00D60F2E">
            <w:pPr>
              <w:pBdr>
                <w:bottom w:val="single" w:sz="4" w:space="1" w:color="auto"/>
              </w:pBdr>
              <w:rPr>
                <w:i/>
                <w:lang w:val="en-US"/>
              </w:rPr>
            </w:pPr>
            <w:r>
              <w:rPr>
                <w:i/>
                <w:lang w:val="en-US"/>
              </w:rPr>
              <w:t>This varies from school to school but, on the whole, learning supporters are granted access to information about the children they support.</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FB5FD8" w:rsidRDefault="00FB5FD8">
            <w:pPr>
              <w:rPr>
                <w:lang w:val="en-US"/>
              </w:rPr>
            </w:pPr>
          </w:p>
          <w:p w:rsidR="00B7271F" w:rsidRDefault="00B7271F">
            <w:pPr>
              <w:rPr>
                <w:lang w:val="en-US"/>
              </w:rPr>
            </w:pPr>
          </w:p>
        </w:tc>
      </w:tr>
      <w:tr w:rsidR="00270620" w:rsidRPr="00AF02F2" w:rsidTr="00BA00C2">
        <w:tc>
          <w:tcPr>
            <w:tcW w:w="1680" w:type="dxa"/>
          </w:tcPr>
          <w:p w:rsidR="00270620" w:rsidRPr="00FB5FD8" w:rsidRDefault="00270620" w:rsidP="00FB5FD8">
            <w:pPr>
              <w:rPr>
                <w:b/>
                <w:lang w:val="en-US"/>
              </w:rPr>
            </w:pPr>
            <w:r w:rsidRPr="00FB5FD8">
              <w:rPr>
                <w:b/>
                <w:lang w:val="en-US"/>
              </w:rPr>
              <w:t xml:space="preserve">Hierarchy </w:t>
            </w:r>
            <w:r w:rsidRPr="00FB5FD8">
              <w:rPr>
                <w:lang w:val="en-US"/>
              </w:rPr>
              <w:t>(Who is the boss?</w:t>
            </w:r>
            <w:r w:rsidR="00FB5FD8" w:rsidRPr="00FB5FD8">
              <w:rPr>
                <w:lang w:val="en-US"/>
              </w:rPr>
              <w:t>)</w:t>
            </w:r>
          </w:p>
        </w:tc>
        <w:tc>
          <w:tcPr>
            <w:tcW w:w="8310" w:type="dxa"/>
            <w:gridSpan w:val="2"/>
          </w:tcPr>
          <w:p w:rsidR="00D60F2E" w:rsidRPr="00D60F2E" w:rsidRDefault="00D60F2E" w:rsidP="00D60F2E">
            <w:pPr>
              <w:pBdr>
                <w:bottom w:val="single" w:sz="4" w:space="1" w:color="auto"/>
              </w:pBdr>
              <w:rPr>
                <w:lang w:val="en-US"/>
              </w:rPr>
            </w:pPr>
            <w:r w:rsidRPr="00D60F2E">
              <w:rPr>
                <w:i/>
                <w:lang w:val="en-US"/>
              </w:rPr>
              <w:t>Current state:</w:t>
            </w:r>
          </w:p>
          <w:p w:rsidR="00D60F2E" w:rsidRDefault="00064DC7" w:rsidP="00D60F2E">
            <w:pPr>
              <w:pBdr>
                <w:bottom w:val="single" w:sz="4" w:space="1" w:color="auto"/>
              </w:pBdr>
              <w:rPr>
                <w:i/>
                <w:lang w:val="en-US"/>
              </w:rPr>
            </w:pPr>
            <w:r>
              <w:rPr>
                <w:i/>
                <w:lang w:val="en-US"/>
              </w:rPr>
              <w:t>In most schools the Special Educational Needs Co-ordinator (SENCO) or Inclusion Manager is the learning supporters’ line manager.  Also in most schools the SENCO or Inclusion Manager is a member of the Senior Leadership Team and often have the head teacher as their line manager.</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270620" w:rsidRDefault="00270620">
            <w:pPr>
              <w:rPr>
                <w:lang w:val="en-US"/>
              </w:rPr>
            </w:pPr>
          </w:p>
          <w:p w:rsidR="00B7271F" w:rsidRDefault="00B7271F">
            <w:pPr>
              <w:rPr>
                <w:lang w:val="en-US"/>
              </w:rPr>
            </w:pPr>
          </w:p>
        </w:tc>
      </w:tr>
      <w:tr w:rsidR="00FB5FD8" w:rsidTr="00BA00C2">
        <w:tc>
          <w:tcPr>
            <w:tcW w:w="9990" w:type="dxa"/>
            <w:gridSpan w:val="3"/>
            <w:shd w:val="clear" w:color="auto" w:fill="D9D9D9" w:themeFill="background1" w:themeFillShade="D9"/>
          </w:tcPr>
          <w:p w:rsidR="00FB5FD8" w:rsidRDefault="00FB5FD8">
            <w:pPr>
              <w:rPr>
                <w:lang w:val="en-US"/>
              </w:rPr>
            </w:pPr>
            <w:r>
              <w:rPr>
                <w:b/>
                <w:lang w:val="en-US"/>
              </w:rPr>
              <w:t>JOB SITUATION</w:t>
            </w:r>
          </w:p>
        </w:tc>
      </w:tr>
      <w:tr w:rsidR="002A7CBD" w:rsidTr="00BA00C2">
        <w:tc>
          <w:tcPr>
            <w:tcW w:w="1680" w:type="dxa"/>
          </w:tcPr>
          <w:p w:rsidR="0054798D" w:rsidRPr="00D80D19" w:rsidRDefault="0054798D" w:rsidP="0054798D">
            <w:pPr>
              <w:contextualSpacing/>
              <w:rPr>
                <w:b/>
                <w:lang w:val="en-US"/>
              </w:rPr>
            </w:pPr>
            <w:r w:rsidRPr="00D80D19">
              <w:rPr>
                <w:b/>
                <w:lang w:val="en-US"/>
              </w:rPr>
              <w:t>Status and Responsibilities in educational systems</w:t>
            </w:r>
          </w:p>
          <w:p w:rsidR="0054798D" w:rsidRPr="00A2766A" w:rsidRDefault="0054798D" w:rsidP="00A2766A">
            <w:pPr>
              <w:pStyle w:val="ListParagraph"/>
              <w:numPr>
                <w:ilvl w:val="0"/>
                <w:numId w:val="1"/>
              </w:numPr>
              <w:rPr>
                <w:lang w:val="en-US"/>
              </w:rPr>
            </w:pPr>
            <w:r w:rsidRPr="00A2766A">
              <w:rPr>
                <w:lang w:val="en-US"/>
              </w:rPr>
              <w:t xml:space="preserve">Formal </w:t>
            </w:r>
          </w:p>
          <w:p w:rsidR="002A7CBD" w:rsidRDefault="002A7CBD" w:rsidP="00A2766A">
            <w:pPr>
              <w:contextualSpacing/>
              <w:rPr>
                <w:lang w:val="en-US"/>
              </w:rPr>
            </w:pPr>
          </w:p>
        </w:tc>
        <w:tc>
          <w:tcPr>
            <w:tcW w:w="8310" w:type="dxa"/>
            <w:gridSpan w:val="2"/>
          </w:tcPr>
          <w:p w:rsidR="00D60F2E" w:rsidRPr="00D60F2E" w:rsidRDefault="00D60F2E" w:rsidP="00D60F2E">
            <w:pPr>
              <w:pBdr>
                <w:bottom w:val="single" w:sz="4" w:space="1" w:color="auto"/>
              </w:pBdr>
              <w:rPr>
                <w:lang w:val="en-US"/>
              </w:rPr>
            </w:pPr>
            <w:r w:rsidRPr="00D60F2E">
              <w:rPr>
                <w:i/>
                <w:lang w:val="en-US"/>
              </w:rPr>
              <w:t>Current state:</w:t>
            </w:r>
          </w:p>
          <w:p w:rsidR="00D60F2E" w:rsidRDefault="002B722B" w:rsidP="00D60F2E">
            <w:pPr>
              <w:pBdr>
                <w:bottom w:val="single" w:sz="4" w:space="1" w:color="auto"/>
              </w:pBdr>
              <w:rPr>
                <w:i/>
                <w:lang w:val="en-US"/>
              </w:rPr>
            </w:pPr>
            <w:r>
              <w:rPr>
                <w:i/>
                <w:lang w:val="en-US"/>
              </w:rPr>
              <w:t>Isn’t this covered above?</w:t>
            </w:r>
            <w:r w:rsidR="0015088C">
              <w:rPr>
                <w:i/>
                <w:lang w:val="en-US"/>
              </w:rPr>
              <w:t xml:space="preserve">  </w:t>
            </w:r>
          </w:p>
          <w:p w:rsidR="00A21C25" w:rsidRDefault="00A21C25" w:rsidP="00D60F2E">
            <w:pPr>
              <w:pBdr>
                <w:bottom w:val="single" w:sz="4" w:space="1" w:color="auto"/>
              </w:pBdr>
              <w:rPr>
                <w:i/>
                <w:lang w:val="en-US"/>
              </w:rPr>
            </w:pPr>
            <w:r>
              <w:rPr>
                <w:i/>
                <w:lang w:val="en-US"/>
              </w:rPr>
              <w:t>I discovered this document on teaching assistants standards</w:t>
            </w:r>
            <w:r w:rsidR="008D240C">
              <w:rPr>
                <w:i/>
                <w:lang w:val="en-US"/>
              </w:rPr>
              <w:t xml:space="preserve"> (link at bottom of page)</w:t>
            </w:r>
            <w:r>
              <w:rPr>
                <w:i/>
                <w:lang w:val="en-US"/>
              </w:rPr>
              <w:t xml:space="preserve">: </w:t>
            </w:r>
            <w:hyperlink r:id="rId15" w:history="1">
              <w:r w:rsidRPr="00D0213B">
                <w:rPr>
                  <w:rStyle w:val="Hyperlink"/>
                  <w:i/>
                  <w:lang w:val="en-US"/>
                </w:rPr>
                <w:t>http://www.naht.org.uk/welcome/news-and-media/key-topics/staff-management/professional-standards-for-teaching-assistants-published/</w:t>
              </w:r>
            </w:hyperlink>
            <w:r>
              <w:rPr>
                <w:i/>
                <w:lang w:val="en-US"/>
              </w:rPr>
              <w:t xml:space="preserve"> </w:t>
            </w:r>
          </w:p>
          <w:p w:rsidR="0015088C" w:rsidRDefault="0015088C" w:rsidP="00D60F2E">
            <w:pPr>
              <w:pBdr>
                <w:bottom w:val="single" w:sz="4" w:space="1" w:color="auto"/>
              </w:pBdr>
              <w:rPr>
                <w:i/>
                <w:lang w:val="en-US"/>
              </w:rPr>
            </w:pPr>
            <w:r>
              <w:rPr>
                <w:i/>
                <w:lang w:val="en-US"/>
              </w:rPr>
              <w:t xml:space="preserve">Learning supporters are expected to earn </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2A7CBD" w:rsidRDefault="002A7CBD">
            <w:pPr>
              <w:rPr>
                <w:lang w:val="en-US"/>
              </w:rPr>
            </w:pPr>
          </w:p>
          <w:p w:rsidR="00B7271F" w:rsidRDefault="00B7271F">
            <w:pPr>
              <w:rPr>
                <w:lang w:val="en-US"/>
              </w:rPr>
            </w:pPr>
          </w:p>
        </w:tc>
      </w:tr>
      <w:tr w:rsidR="002A7CBD" w:rsidTr="00BA00C2">
        <w:tc>
          <w:tcPr>
            <w:tcW w:w="1680" w:type="dxa"/>
          </w:tcPr>
          <w:p w:rsidR="00A2766A" w:rsidRPr="00A2766A" w:rsidRDefault="00A2766A" w:rsidP="00A2766A">
            <w:pPr>
              <w:pStyle w:val="ListParagraph"/>
              <w:numPr>
                <w:ilvl w:val="0"/>
                <w:numId w:val="1"/>
              </w:numPr>
              <w:rPr>
                <w:lang w:val="en-US"/>
              </w:rPr>
            </w:pPr>
            <w:r>
              <w:rPr>
                <w:lang w:val="en-US"/>
              </w:rPr>
              <w:lastRenderedPageBreak/>
              <w:t>I</w:t>
            </w:r>
            <w:r w:rsidRPr="00A2766A">
              <w:rPr>
                <w:lang w:val="en-US"/>
              </w:rPr>
              <w:t>nformal</w:t>
            </w:r>
          </w:p>
          <w:p w:rsidR="002A7CBD" w:rsidRDefault="002A7CBD">
            <w:pPr>
              <w:rPr>
                <w:lang w:val="en-US"/>
              </w:rPr>
            </w:pPr>
          </w:p>
        </w:tc>
        <w:tc>
          <w:tcPr>
            <w:tcW w:w="8310" w:type="dxa"/>
            <w:gridSpan w:val="2"/>
          </w:tcPr>
          <w:p w:rsidR="00D60F2E" w:rsidRPr="00D60F2E" w:rsidRDefault="00D60F2E" w:rsidP="00D60F2E">
            <w:pPr>
              <w:pBdr>
                <w:bottom w:val="single" w:sz="4" w:space="1" w:color="auto"/>
              </w:pBdr>
              <w:rPr>
                <w:lang w:val="en-US"/>
              </w:rPr>
            </w:pPr>
            <w:r w:rsidRPr="00D60F2E">
              <w:rPr>
                <w:i/>
                <w:lang w:val="en-US"/>
              </w:rPr>
              <w:t>Current state:</w:t>
            </w:r>
          </w:p>
          <w:p w:rsidR="0015088C" w:rsidRDefault="0015088C" w:rsidP="00D60F2E">
            <w:pPr>
              <w:pBdr>
                <w:bottom w:val="single" w:sz="4" w:space="1" w:color="auto"/>
              </w:pBdr>
              <w:rPr>
                <w:i/>
                <w:lang w:val="en-US"/>
              </w:rPr>
            </w:pPr>
          </w:p>
          <w:p w:rsidR="00D60F2E" w:rsidRPr="00D60F2E" w:rsidRDefault="00D60F2E" w:rsidP="00D60F2E">
            <w:pPr>
              <w:pBdr>
                <w:bottom w:val="single" w:sz="4" w:space="1" w:color="auto"/>
              </w:pBdr>
              <w:rPr>
                <w:i/>
                <w:lang w:val="en-US"/>
              </w:rPr>
            </w:pPr>
          </w:p>
          <w:p w:rsidR="00D60F2E" w:rsidRDefault="00D60F2E" w:rsidP="00D60F2E">
            <w:pPr>
              <w:rPr>
                <w:lang w:val="en-US"/>
              </w:rPr>
            </w:pPr>
          </w:p>
          <w:p w:rsidR="009652D7" w:rsidRDefault="00D60F2E" w:rsidP="009652D7">
            <w:pPr>
              <w:pBdr>
                <w:bottom w:val="single" w:sz="4" w:space="1" w:color="auto"/>
              </w:pBdr>
              <w:rPr>
                <w:i/>
                <w:lang w:val="en-US"/>
              </w:rPr>
            </w:pPr>
            <w:r w:rsidRPr="00D60F2E">
              <w:rPr>
                <w:i/>
                <w:lang w:val="en-US"/>
              </w:rPr>
              <w:t>Sources:</w:t>
            </w:r>
            <w:r w:rsidR="009652D7">
              <w:rPr>
                <w:i/>
                <w:lang w:val="en-US"/>
              </w:rPr>
              <w:t xml:space="preserve"> </w:t>
            </w:r>
          </w:p>
          <w:p w:rsidR="009652D7" w:rsidRDefault="009652D7" w:rsidP="009652D7">
            <w:pPr>
              <w:pBdr>
                <w:bottom w:val="single" w:sz="4" w:space="1" w:color="auto"/>
              </w:pBdr>
              <w:rPr>
                <w:i/>
                <w:lang w:val="en-US"/>
              </w:rPr>
            </w:pPr>
            <w:r>
              <w:rPr>
                <w:i/>
                <w:lang w:val="en-US"/>
              </w:rPr>
              <w:t xml:space="preserve">I found an interesting overview of the role at </w:t>
            </w:r>
            <w:hyperlink r:id="rId16" w:history="1">
              <w:r w:rsidRPr="00D0213B">
                <w:rPr>
                  <w:rStyle w:val="Hyperlink"/>
                  <w:i/>
                  <w:lang w:val="en-US"/>
                </w:rPr>
                <w:t>https://www.myworldofwork.co.uk/my-career-options/learning-support-assistant</w:t>
              </w:r>
            </w:hyperlink>
            <w:r>
              <w:rPr>
                <w:i/>
                <w:lang w:val="en-US"/>
              </w:rPr>
              <w:t xml:space="preserve"> and this set of recommendations for improving the impact of teaching assistants: </w:t>
            </w:r>
            <w:hyperlink r:id="rId17" w:history="1">
              <w:r w:rsidRPr="00D0213B">
                <w:rPr>
                  <w:rStyle w:val="Hyperlink"/>
                  <w:i/>
                  <w:lang w:val="en-US"/>
                </w:rPr>
                <w:t>https://www.ucl.ac.uk/ioe/news-events/pdf/TA_Guidance_Report_MakingBestUseOfTeachingAssisstants.pdf</w:t>
              </w:r>
            </w:hyperlink>
            <w:r>
              <w:rPr>
                <w:i/>
                <w:lang w:val="en-US"/>
              </w:rPr>
              <w:t xml:space="preserve"> </w:t>
            </w:r>
          </w:p>
          <w:p w:rsidR="00D60F2E" w:rsidRPr="00D60F2E" w:rsidRDefault="00D60F2E" w:rsidP="00D60F2E">
            <w:pPr>
              <w:rPr>
                <w:lang w:val="en-US"/>
              </w:rPr>
            </w:pP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2A7CBD" w:rsidRDefault="002A7CBD">
            <w:pPr>
              <w:rPr>
                <w:lang w:val="en-US"/>
              </w:rPr>
            </w:pPr>
          </w:p>
          <w:p w:rsidR="00B7271F" w:rsidRDefault="00B7271F">
            <w:pPr>
              <w:rPr>
                <w:lang w:val="en-US"/>
              </w:rPr>
            </w:pPr>
          </w:p>
        </w:tc>
      </w:tr>
      <w:tr w:rsidR="002A7CBD" w:rsidRPr="00AF02F2" w:rsidTr="00BA00C2">
        <w:tc>
          <w:tcPr>
            <w:tcW w:w="1680" w:type="dxa"/>
          </w:tcPr>
          <w:p w:rsidR="00FB5FD8" w:rsidRPr="00D80D19" w:rsidRDefault="00FB5FD8" w:rsidP="00FB5FD8">
            <w:pPr>
              <w:contextualSpacing/>
              <w:rPr>
                <w:b/>
                <w:lang w:val="en-US"/>
              </w:rPr>
            </w:pPr>
            <w:r w:rsidRPr="00D80D19">
              <w:rPr>
                <w:b/>
                <w:lang w:val="en-US"/>
              </w:rPr>
              <w:t>Continuing professional development</w:t>
            </w:r>
          </w:p>
          <w:p w:rsidR="00FB5FD8" w:rsidRPr="00FB5FD8" w:rsidRDefault="00FB5FD8" w:rsidP="00FB5FD8">
            <w:pPr>
              <w:pStyle w:val="ListParagraph"/>
              <w:numPr>
                <w:ilvl w:val="0"/>
                <w:numId w:val="1"/>
              </w:numPr>
              <w:rPr>
                <w:lang w:val="en-US"/>
              </w:rPr>
            </w:pPr>
            <w:r w:rsidRPr="00FB5FD8">
              <w:rPr>
                <w:lang w:val="en-US"/>
              </w:rPr>
              <w:t xml:space="preserve">What are the chances for career development? </w:t>
            </w:r>
          </w:p>
          <w:p w:rsidR="002A7CBD" w:rsidRPr="00FB5FD8" w:rsidRDefault="002A7CBD" w:rsidP="00FB5FD8">
            <w:pPr>
              <w:rPr>
                <w:lang w:val="en-US"/>
              </w:rPr>
            </w:pPr>
          </w:p>
        </w:tc>
        <w:tc>
          <w:tcPr>
            <w:tcW w:w="8310" w:type="dxa"/>
            <w:gridSpan w:val="2"/>
          </w:tcPr>
          <w:p w:rsidR="00D60F2E" w:rsidRPr="00D60F2E" w:rsidRDefault="00D60F2E" w:rsidP="00D60F2E">
            <w:pPr>
              <w:pBdr>
                <w:bottom w:val="single" w:sz="4" w:space="1" w:color="auto"/>
              </w:pBdr>
              <w:rPr>
                <w:lang w:val="en-US"/>
              </w:rPr>
            </w:pPr>
            <w:r w:rsidRPr="00D60F2E">
              <w:rPr>
                <w:i/>
                <w:lang w:val="en-US"/>
              </w:rPr>
              <w:t>Current state:</w:t>
            </w:r>
          </w:p>
          <w:p w:rsidR="00D60F2E" w:rsidRDefault="002B722B" w:rsidP="00D60F2E">
            <w:pPr>
              <w:pBdr>
                <w:bottom w:val="single" w:sz="4" w:space="1" w:color="auto"/>
              </w:pBdr>
              <w:rPr>
                <w:i/>
                <w:lang w:val="en-US"/>
              </w:rPr>
            </w:pPr>
            <w:r>
              <w:rPr>
                <w:i/>
                <w:lang w:val="en-US"/>
              </w:rPr>
              <w:t>There is no longer any government funding for support staff training.  Learning Supporters’ professional development is up to their school and their (seriously depleted) budget.</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r w:rsidR="007A47BA">
              <w:rPr>
                <w:i/>
                <w:lang w:val="en-US"/>
              </w:rPr>
              <w:t xml:space="preserve"> Personal professional knowledge</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2A7CBD" w:rsidRDefault="002A7CBD">
            <w:pPr>
              <w:rPr>
                <w:lang w:val="en-US"/>
              </w:rPr>
            </w:pPr>
          </w:p>
          <w:p w:rsidR="00B7271F" w:rsidRDefault="00B7271F">
            <w:pPr>
              <w:rPr>
                <w:lang w:val="en-US"/>
              </w:rPr>
            </w:pPr>
          </w:p>
        </w:tc>
      </w:tr>
      <w:tr w:rsidR="002A7CBD" w:rsidRPr="00AF02F2" w:rsidTr="00BA00C2">
        <w:tc>
          <w:tcPr>
            <w:tcW w:w="1680" w:type="dxa"/>
          </w:tcPr>
          <w:p w:rsidR="002A7CBD" w:rsidRPr="00FB5FD8" w:rsidRDefault="008D7C10" w:rsidP="00FB5FD8">
            <w:pPr>
              <w:pStyle w:val="ListParagraph"/>
              <w:numPr>
                <w:ilvl w:val="0"/>
                <w:numId w:val="1"/>
              </w:numPr>
              <w:rPr>
                <w:lang w:val="en-US"/>
              </w:rPr>
            </w:pPr>
            <w:r w:rsidRPr="00FB5FD8">
              <w:rPr>
                <w:lang w:val="en-US"/>
              </w:rPr>
              <w:t>How are supporters supported to deal with the challenge</w:t>
            </w:r>
            <w:r w:rsidR="00FB5FD8">
              <w:rPr>
                <w:lang w:val="en-US"/>
              </w:rPr>
              <w:t>s</w:t>
            </w:r>
            <w:r w:rsidRPr="00FB5FD8">
              <w:rPr>
                <w:lang w:val="en-US"/>
              </w:rPr>
              <w:t xml:space="preserve"> of the job?</w:t>
            </w:r>
          </w:p>
        </w:tc>
        <w:tc>
          <w:tcPr>
            <w:tcW w:w="8310" w:type="dxa"/>
            <w:gridSpan w:val="2"/>
          </w:tcPr>
          <w:p w:rsidR="00D60F2E" w:rsidRPr="00D60F2E" w:rsidRDefault="00D60F2E" w:rsidP="00D60F2E">
            <w:pPr>
              <w:pBdr>
                <w:bottom w:val="single" w:sz="4" w:space="1" w:color="auto"/>
              </w:pBdr>
              <w:rPr>
                <w:lang w:val="en-US"/>
              </w:rPr>
            </w:pPr>
            <w:r w:rsidRPr="00D60F2E">
              <w:rPr>
                <w:i/>
                <w:lang w:val="en-US"/>
              </w:rPr>
              <w:t>Current state:</w:t>
            </w:r>
          </w:p>
          <w:p w:rsidR="00D60F2E" w:rsidRDefault="007A47BA" w:rsidP="00D60F2E">
            <w:pPr>
              <w:pBdr>
                <w:bottom w:val="single" w:sz="4" w:space="1" w:color="auto"/>
              </w:pBdr>
              <w:rPr>
                <w:i/>
                <w:lang w:val="en-US"/>
              </w:rPr>
            </w:pPr>
            <w:r>
              <w:rPr>
                <w:i/>
                <w:lang w:val="en-US"/>
              </w:rPr>
              <w:t>There is no national structure; this, too, is at the discretion of the school.</w:t>
            </w:r>
          </w:p>
          <w:p w:rsidR="002755ED" w:rsidRDefault="002755ED"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r w:rsidR="007A47BA">
              <w:rPr>
                <w:i/>
                <w:lang w:val="en-US"/>
              </w:rPr>
              <w:t xml:space="preserve"> Personal professional knowledge</w:t>
            </w:r>
            <w:r w:rsidR="00DD5D4D">
              <w:rPr>
                <w:i/>
                <w:lang w:val="en-US"/>
              </w:rPr>
              <w:t xml:space="preserve"> and link as mentioned above</w:t>
            </w:r>
            <w:r w:rsidR="007A47BA">
              <w:rPr>
                <w:i/>
                <w:lang w:val="en-US"/>
              </w:rPr>
              <w:t>.</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r w:rsidR="00C33A35">
              <w:rPr>
                <w:i/>
                <w:lang w:val="en-US"/>
              </w:rPr>
              <w:t xml:space="preserve"> </w:t>
            </w:r>
          </w:p>
          <w:p w:rsidR="002A7CBD" w:rsidRDefault="002A7CBD">
            <w:pPr>
              <w:rPr>
                <w:lang w:val="en-US"/>
              </w:rPr>
            </w:pPr>
          </w:p>
          <w:p w:rsidR="00B7271F" w:rsidRDefault="00B7271F">
            <w:pPr>
              <w:rPr>
                <w:lang w:val="en-US"/>
              </w:rPr>
            </w:pPr>
          </w:p>
        </w:tc>
      </w:tr>
      <w:tr w:rsidR="008D7C10" w:rsidRPr="00AF02F2" w:rsidTr="00BA00C2">
        <w:tc>
          <w:tcPr>
            <w:tcW w:w="1680" w:type="dxa"/>
          </w:tcPr>
          <w:p w:rsidR="00112939" w:rsidRPr="00A42356" w:rsidRDefault="00112939" w:rsidP="00112939">
            <w:pPr>
              <w:contextualSpacing/>
              <w:rPr>
                <w:b/>
                <w:lang w:val="en-US"/>
              </w:rPr>
            </w:pPr>
            <w:r w:rsidRPr="00A42356">
              <w:rPr>
                <w:b/>
                <w:lang w:val="en-US"/>
              </w:rPr>
              <w:t>Job security and career progressive description/pro</w:t>
            </w:r>
            <w:r w:rsidRPr="00A42356">
              <w:rPr>
                <w:b/>
                <w:lang w:val="en-US"/>
              </w:rPr>
              <w:lastRenderedPageBreak/>
              <w:t xml:space="preserve">file of workforce </w:t>
            </w:r>
          </w:p>
          <w:p w:rsidR="008D7C10" w:rsidRPr="00FB5FD8" w:rsidRDefault="00055ED5" w:rsidP="00FB5FD8">
            <w:pPr>
              <w:pStyle w:val="ListParagraph"/>
              <w:numPr>
                <w:ilvl w:val="0"/>
                <w:numId w:val="1"/>
              </w:numPr>
              <w:rPr>
                <w:lang w:val="en-US"/>
              </w:rPr>
            </w:pPr>
            <w:r>
              <w:rPr>
                <w:lang w:val="en-US"/>
              </w:rPr>
              <w:t>E</w:t>
            </w:r>
            <w:r w:rsidR="00112939" w:rsidRPr="00976F7F">
              <w:rPr>
                <w:lang w:val="en-US"/>
              </w:rPr>
              <w:t>quality profile</w:t>
            </w:r>
            <w:r w:rsidR="00976F7F" w:rsidRPr="00976F7F">
              <w:rPr>
                <w:lang w:val="en-US"/>
              </w:rPr>
              <w:t xml:space="preserve"> (gender, impairment, age, ethnicity, migrant status)</w:t>
            </w:r>
          </w:p>
        </w:tc>
        <w:tc>
          <w:tcPr>
            <w:tcW w:w="8310" w:type="dxa"/>
            <w:gridSpan w:val="2"/>
          </w:tcPr>
          <w:p w:rsidR="00D60F2E" w:rsidRPr="00D60F2E" w:rsidRDefault="00D60F2E" w:rsidP="00D60F2E">
            <w:pPr>
              <w:pBdr>
                <w:bottom w:val="single" w:sz="4" w:space="1" w:color="auto"/>
              </w:pBdr>
              <w:rPr>
                <w:lang w:val="en-US"/>
              </w:rPr>
            </w:pPr>
            <w:r w:rsidRPr="00D60F2E">
              <w:rPr>
                <w:i/>
                <w:lang w:val="en-US"/>
              </w:rPr>
              <w:lastRenderedPageBreak/>
              <w:t>Current state:</w:t>
            </w:r>
          </w:p>
          <w:p w:rsidR="00D60F2E" w:rsidRDefault="007A47BA" w:rsidP="00D60F2E">
            <w:pPr>
              <w:pBdr>
                <w:bottom w:val="single" w:sz="4" w:space="1" w:color="auto"/>
              </w:pBdr>
              <w:rPr>
                <w:i/>
                <w:lang w:val="en-US"/>
              </w:rPr>
            </w:pPr>
            <w:r>
              <w:rPr>
                <w:i/>
                <w:lang w:val="en-US"/>
              </w:rPr>
              <w:t xml:space="preserve">There is very little job security – the way I understand it (and I stand to be corrected) </w:t>
            </w:r>
            <w:r w:rsidR="002755ED">
              <w:rPr>
                <w:i/>
                <w:lang w:val="en-US"/>
              </w:rPr>
              <w:t xml:space="preserve">is </w:t>
            </w:r>
            <w:r>
              <w:rPr>
                <w:i/>
                <w:lang w:val="en-US"/>
              </w:rPr>
              <w:t>if you are a learning supporter employed to work with a particular pupil and that pupil leaves the school</w:t>
            </w:r>
            <w:r w:rsidR="002755ED">
              <w:rPr>
                <w:i/>
                <w:lang w:val="en-US"/>
              </w:rPr>
              <w:t>, you stand to lose your job.</w:t>
            </w:r>
          </w:p>
          <w:p w:rsidR="002755ED" w:rsidRPr="00D60F2E" w:rsidRDefault="002755ED" w:rsidP="002755ED">
            <w:pPr>
              <w:pBdr>
                <w:bottom w:val="single" w:sz="4" w:space="1" w:color="auto"/>
              </w:pBdr>
              <w:rPr>
                <w:i/>
                <w:lang w:val="en-US"/>
              </w:rPr>
            </w:pPr>
            <w:r>
              <w:rPr>
                <w:lang w:val="en-US"/>
              </w:rPr>
              <w:lastRenderedPageBreak/>
              <w:t xml:space="preserve">An interesting overview of learning supporters’ concerns was published in 2013 by the union UNISON, identifying pay levels, overtime and job security among their biggest concerns: </w:t>
            </w:r>
            <w:hyperlink r:id="rId18" w:history="1">
              <w:r w:rsidRPr="00D0213B">
                <w:rPr>
                  <w:rStyle w:val="Hyperlink"/>
                  <w:lang w:val="en-US"/>
                </w:rPr>
                <w:t>https://www.unison.org.uk/content/uploads/2014/09/TowebTA-Survey-2013-PDF2.pdf</w:t>
              </w:r>
            </w:hyperlink>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Default="00D60F2E" w:rsidP="00D60F2E">
            <w:pPr>
              <w:rPr>
                <w:i/>
                <w:lang w:val="en-US"/>
              </w:rPr>
            </w:pPr>
            <w:r w:rsidRPr="00D60F2E">
              <w:rPr>
                <w:i/>
                <w:lang w:val="en-US"/>
              </w:rPr>
              <w:t>Sources:</w:t>
            </w:r>
            <w:r w:rsidR="002755ED">
              <w:rPr>
                <w:i/>
                <w:lang w:val="en-US"/>
              </w:rPr>
              <w:t xml:space="preserve"> Personal professional knowledge and link as mentioned above.</w:t>
            </w:r>
          </w:p>
          <w:p w:rsidR="002B499F" w:rsidRDefault="002B499F" w:rsidP="00D60F2E">
            <w:pPr>
              <w:rPr>
                <w:i/>
                <w:lang w:val="en-US"/>
              </w:rPr>
            </w:pPr>
          </w:p>
          <w:p w:rsidR="002B499F" w:rsidRDefault="002B499F" w:rsidP="00D60F2E">
            <w:pPr>
              <w:rPr>
                <w:i/>
                <w:lang w:val="en-US"/>
              </w:rPr>
            </w:pPr>
            <w:r>
              <w:rPr>
                <w:i/>
                <w:lang w:val="en-US"/>
              </w:rPr>
              <w:t xml:space="preserve">The most recent information on </w:t>
            </w:r>
            <w:r w:rsidR="001A4CE0">
              <w:rPr>
                <w:i/>
                <w:lang w:val="en-US"/>
              </w:rPr>
              <w:t xml:space="preserve">numbers and </w:t>
            </w:r>
            <w:r>
              <w:rPr>
                <w:i/>
                <w:lang w:val="en-US"/>
              </w:rPr>
              <w:t xml:space="preserve">equality profile of the workforce is at </w:t>
            </w:r>
            <w:hyperlink r:id="rId19" w:history="1">
              <w:r w:rsidR="001A4CE0" w:rsidRPr="00D0213B">
                <w:rPr>
                  <w:rStyle w:val="Hyperlink"/>
                  <w:i/>
                  <w:lang w:val="en-US"/>
                </w:rPr>
                <w:t>https://www.gov.uk/government/statistics/school-workforce-in-england-november-2015</w:t>
              </w:r>
            </w:hyperlink>
            <w:r w:rsidR="001A4CE0">
              <w:rPr>
                <w:i/>
                <w:lang w:val="en-US"/>
              </w:rPr>
              <w:t xml:space="preserve"> </w:t>
            </w:r>
          </w:p>
          <w:p w:rsidR="002B499F" w:rsidRPr="00D60F2E" w:rsidRDefault="002B499F" w:rsidP="00D60F2E">
            <w:pPr>
              <w:rPr>
                <w:lang w:val="en-US"/>
              </w:rPr>
            </w:pPr>
            <w:r>
              <w:rPr>
                <w:i/>
                <w:lang w:val="en-US"/>
              </w:rPr>
              <w:t>Updated information is expected to be available in June 2017.</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2755ED" w:rsidRPr="00D60F2E" w:rsidRDefault="002755ED" w:rsidP="002755ED">
            <w:pPr>
              <w:rPr>
                <w:lang w:val="en-US"/>
              </w:rPr>
            </w:pPr>
            <w:r>
              <w:rPr>
                <w:i/>
                <w:lang w:val="en-US"/>
              </w:rPr>
              <w:t>I looked for more recent surveys but cannot find anything beyond this 2013 survey.</w:t>
            </w:r>
          </w:p>
          <w:p w:rsidR="008D7C10" w:rsidRDefault="008D7C10">
            <w:pPr>
              <w:rPr>
                <w:lang w:val="en-US"/>
              </w:rPr>
            </w:pPr>
          </w:p>
          <w:p w:rsidR="00B7271F" w:rsidRDefault="00B7271F">
            <w:pPr>
              <w:rPr>
                <w:lang w:val="en-US"/>
              </w:rPr>
            </w:pPr>
          </w:p>
        </w:tc>
      </w:tr>
      <w:tr w:rsidR="00FB5FD8" w:rsidTr="00BA00C2">
        <w:tc>
          <w:tcPr>
            <w:tcW w:w="1680" w:type="dxa"/>
          </w:tcPr>
          <w:p w:rsidR="00FB5FD8" w:rsidRPr="00FB5FD8" w:rsidRDefault="00055ED5" w:rsidP="00191158">
            <w:pPr>
              <w:pStyle w:val="ListParagraph"/>
              <w:numPr>
                <w:ilvl w:val="0"/>
                <w:numId w:val="1"/>
              </w:numPr>
              <w:rPr>
                <w:b/>
                <w:lang w:val="en-US"/>
              </w:rPr>
            </w:pPr>
            <w:r w:rsidRPr="00FB5FD8">
              <w:rPr>
                <w:lang w:val="en-US"/>
              </w:rPr>
              <w:lastRenderedPageBreak/>
              <w:t>Contractual</w:t>
            </w:r>
            <w:r w:rsidR="00FB5FD8" w:rsidRPr="00FB5FD8">
              <w:rPr>
                <w:lang w:val="en-US"/>
              </w:rPr>
              <w:t xml:space="preserve"> situation</w:t>
            </w:r>
            <w:r w:rsidR="00FB5FD8" w:rsidRPr="00FB5FD8">
              <w:rPr>
                <w:color w:val="FF0000"/>
                <w:lang w:val="en-US"/>
              </w:rPr>
              <w:t xml:space="preserve"> </w:t>
            </w:r>
          </w:p>
        </w:tc>
        <w:tc>
          <w:tcPr>
            <w:tcW w:w="8310" w:type="dxa"/>
            <w:gridSpan w:val="2"/>
          </w:tcPr>
          <w:p w:rsidR="00D60F2E" w:rsidRPr="00D60F2E" w:rsidRDefault="00D60F2E" w:rsidP="00D60F2E">
            <w:pPr>
              <w:pBdr>
                <w:bottom w:val="single" w:sz="4" w:space="1" w:color="auto"/>
              </w:pBdr>
              <w:rPr>
                <w:lang w:val="en-US"/>
              </w:rPr>
            </w:pPr>
            <w:r w:rsidRPr="00D60F2E">
              <w:rPr>
                <w:i/>
                <w:lang w:val="en-US"/>
              </w:rPr>
              <w:t>Current state:</w:t>
            </w:r>
          </w:p>
          <w:p w:rsidR="00D60F2E" w:rsidRDefault="007A47BA" w:rsidP="00D60F2E">
            <w:pPr>
              <w:pBdr>
                <w:bottom w:val="single" w:sz="4" w:space="1" w:color="auto"/>
              </w:pBdr>
              <w:rPr>
                <w:i/>
                <w:lang w:val="en-US"/>
              </w:rPr>
            </w:pPr>
            <w:r>
              <w:rPr>
                <w:i/>
                <w:lang w:val="en-US"/>
              </w:rPr>
              <w:t>Learning supporters tend to be employed for a set number of hours to support the learning of specific pupils.  This means there is no provision for them to have liaison meetings, plan or attend reviews of the pupils they support – many do this voluntarily.  By contrast, teachers have a set number of ‘non-contact’ hours built into their contracts and can do these things as part of their paid duties.</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Sources:</w:t>
            </w:r>
            <w:r w:rsidR="0015088C">
              <w:rPr>
                <w:i/>
                <w:lang w:val="en-US"/>
              </w:rPr>
              <w:t xml:space="preserve"> Personal professional knowledge.</w:t>
            </w:r>
          </w:p>
          <w:p w:rsidR="00D60F2E" w:rsidRPr="00D60F2E" w:rsidRDefault="00D60F2E" w:rsidP="00D60F2E">
            <w:pPr>
              <w:pBdr>
                <w:bottom w:val="single" w:sz="4" w:space="1" w:color="auto"/>
              </w:pBdr>
              <w:rPr>
                <w:i/>
                <w:lang w:val="en-US"/>
              </w:rPr>
            </w:pPr>
          </w:p>
          <w:p w:rsidR="00D60F2E" w:rsidRDefault="00D60F2E" w:rsidP="00D60F2E">
            <w:pPr>
              <w:rPr>
                <w:lang w:val="en-US"/>
              </w:rPr>
            </w:pPr>
          </w:p>
          <w:p w:rsidR="00D60F2E" w:rsidRPr="00D60F2E" w:rsidRDefault="00D60F2E" w:rsidP="00D60F2E">
            <w:pPr>
              <w:rPr>
                <w:lang w:val="en-US"/>
              </w:rPr>
            </w:pPr>
            <w:r w:rsidRPr="00D60F2E">
              <w:rPr>
                <w:i/>
                <w:lang w:val="en-US"/>
              </w:rPr>
              <w:t>Comments:</w:t>
            </w:r>
          </w:p>
          <w:p w:rsidR="00FB5FD8" w:rsidRDefault="00FB5FD8">
            <w:pPr>
              <w:rPr>
                <w:lang w:val="en-US"/>
              </w:rPr>
            </w:pPr>
          </w:p>
          <w:p w:rsidR="00B7271F" w:rsidRDefault="00B7271F">
            <w:pPr>
              <w:rPr>
                <w:lang w:val="en-US"/>
              </w:rPr>
            </w:pPr>
          </w:p>
        </w:tc>
      </w:tr>
    </w:tbl>
    <w:p w:rsidR="00BE0405" w:rsidRDefault="00BE0405" w:rsidP="00BE0405">
      <w:pPr>
        <w:spacing w:after="0"/>
        <w:rPr>
          <w:lang w:val="en-US"/>
        </w:rPr>
      </w:pPr>
    </w:p>
    <w:p w:rsidR="00BE0405" w:rsidRDefault="00BE0405" w:rsidP="00BE0405">
      <w:pPr>
        <w:spacing w:after="0"/>
        <w:rPr>
          <w:lang w:val="en-US"/>
        </w:rPr>
      </w:pPr>
    </w:p>
    <w:p w:rsidR="00BE0405" w:rsidRDefault="00BE0405">
      <w:pPr>
        <w:contextualSpacing/>
        <w:rPr>
          <w:lang w:val="en-US"/>
        </w:rPr>
      </w:pPr>
    </w:p>
    <w:p w:rsidR="00D80D19" w:rsidRDefault="00D80D19">
      <w:pPr>
        <w:contextualSpacing/>
        <w:rPr>
          <w:lang w:val="en-US"/>
        </w:rPr>
      </w:pPr>
    </w:p>
    <w:p w:rsidR="00D80D19" w:rsidRDefault="00D80D19">
      <w:pPr>
        <w:contextualSpacing/>
        <w:rPr>
          <w:lang w:val="en-US"/>
        </w:rPr>
      </w:pPr>
    </w:p>
    <w:sectPr w:rsidR="00D80D19" w:rsidSect="00D60F2E">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A8" w:rsidRDefault="00F338A8" w:rsidP="006649B7">
      <w:pPr>
        <w:spacing w:after="0" w:line="240" w:lineRule="auto"/>
      </w:pPr>
      <w:r>
        <w:separator/>
      </w:r>
    </w:p>
  </w:endnote>
  <w:endnote w:type="continuationSeparator" w:id="0">
    <w:p w:rsidR="00F338A8" w:rsidRDefault="00F338A8" w:rsidP="0066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502919"/>
      <w:docPartObj>
        <w:docPartGallery w:val="Page Numbers (Bottom of Page)"/>
        <w:docPartUnique/>
      </w:docPartObj>
    </w:sdtPr>
    <w:sdtEndPr/>
    <w:sdtContent>
      <w:p w:rsidR="006649B7" w:rsidRDefault="006649B7">
        <w:pPr>
          <w:pStyle w:val="Footer"/>
          <w:jc w:val="center"/>
        </w:pPr>
        <w:r>
          <w:fldChar w:fldCharType="begin"/>
        </w:r>
        <w:r>
          <w:instrText>PAGE   \* MERGEFORMAT</w:instrText>
        </w:r>
        <w:r>
          <w:fldChar w:fldCharType="separate"/>
        </w:r>
        <w:r w:rsidR="009B2A7B">
          <w:rPr>
            <w:noProof/>
          </w:rPr>
          <w:t>1</w:t>
        </w:r>
        <w:r>
          <w:fldChar w:fldCharType="end"/>
        </w:r>
      </w:p>
    </w:sdtContent>
  </w:sdt>
  <w:p w:rsidR="006649B7" w:rsidRDefault="00664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A8" w:rsidRDefault="00F338A8" w:rsidP="006649B7">
      <w:pPr>
        <w:spacing w:after="0" w:line="240" w:lineRule="auto"/>
      </w:pPr>
      <w:r>
        <w:separator/>
      </w:r>
    </w:p>
  </w:footnote>
  <w:footnote w:type="continuationSeparator" w:id="0">
    <w:p w:rsidR="00F338A8" w:rsidRDefault="00F338A8" w:rsidP="00664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16929"/>
    <w:multiLevelType w:val="hybridMultilevel"/>
    <w:tmpl w:val="647A00E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0757EDE"/>
    <w:multiLevelType w:val="hybridMultilevel"/>
    <w:tmpl w:val="C0D2E1B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34"/>
    <w:rsid w:val="00035E00"/>
    <w:rsid w:val="00055ED5"/>
    <w:rsid w:val="00064DC7"/>
    <w:rsid w:val="00066AFF"/>
    <w:rsid w:val="00093BC4"/>
    <w:rsid w:val="00112939"/>
    <w:rsid w:val="0015088C"/>
    <w:rsid w:val="001723AF"/>
    <w:rsid w:val="001742E6"/>
    <w:rsid w:val="00186060"/>
    <w:rsid w:val="00191158"/>
    <w:rsid w:val="001A4CE0"/>
    <w:rsid w:val="001B5F3D"/>
    <w:rsid w:val="001C3D8E"/>
    <w:rsid w:val="002423F8"/>
    <w:rsid w:val="00242D71"/>
    <w:rsid w:val="00261F46"/>
    <w:rsid w:val="00270620"/>
    <w:rsid w:val="002755ED"/>
    <w:rsid w:val="00291B4A"/>
    <w:rsid w:val="002A7CBD"/>
    <w:rsid w:val="002B499F"/>
    <w:rsid w:val="002B722B"/>
    <w:rsid w:val="003A7102"/>
    <w:rsid w:val="003C32D5"/>
    <w:rsid w:val="00412455"/>
    <w:rsid w:val="00435A3A"/>
    <w:rsid w:val="004C7D23"/>
    <w:rsid w:val="00503D85"/>
    <w:rsid w:val="0054798D"/>
    <w:rsid w:val="006649B7"/>
    <w:rsid w:val="006A1B1D"/>
    <w:rsid w:val="006A7486"/>
    <w:rsid w:val="00716100"/>
    <w:rsid w:val="007A47BA"/>
    <w:rsid w:val="007B45E9"/>
    <w:rsid w:val="007C089D"/>
    <w:rsid w:val="008B0171"/>
    <w:rsid w:val="008B078C"/>
    <w:rsid w:val="008D240C"/>
    <w:rsid w:val="008D7C10"/>
    <w:rsid w:val="0092585E"/>
    <w:rsid w:val="0093232A"/>
    <w:rsid w:val="009652D7"/>
    <w:rsid w:val="00976F7F"/>
    <w:rsid w:val="0099681A"/>
    <w:rsid w:val="009A3EFC"/>
    <w:rsid w:val="009B102D"/>
    <w:rsid w:val="009B2A7B"/>
    <w:rsid w:val="00A049E8"/>
    <w:rsid w:val="00A21C25"/>
    <w:rsid w:val="00A267E2"/>
    <w:rsid w:val="00A2766A"/>
    <w:rsid w:val="00A36134"/>
    <w:rsid w:val="00A42356"/>
    <w:rsid w:val="00A817DC"/>
    <w:rsid w:val="00AF02F2"/>
    <w:rsid w:val="00B500F6"/>
    <w:rsid w:val="00B7271F"/>
    <w:rsid w:val="00BA00C2"/>
    <w:rsid w:val="00BA554E"/>
    <w:rsid w:val="00BE0405"/>
    <w:rsid w:val="00C33A35"/>
    <w:rsid w:val="00C41ECC"/>
    <w:rsid w:val="00C55350"/>
    <w:rsid w:val="00C87BAE"/>
    <w:rsid w:val="00C9019A"/>
    <w:rsid w:val="00C94F28"/>
    <w:rsid w:val="00CA6200"/>
    <w:rsid w:val="00D60F2E"/>
    <w:rsid w:val="00D80D19"/>
    <w:rsid w:val="00DC7F08"/>
    <w:rsid w:val="00DD5D4D"/>
    <w:rsid w:val="00DF538E"/>
    <w:rsid w:val="00E74032"/>
    <w:rsid w:val="00F338A8"/>
    <w:rsid w:val="00F56FE5"/>
    <w:rsid w:val="00FB5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CBD"/>
    <w:pPr>
      <w:ind w:left="720"/>
      <w:contextualSpacing/>
    </w:pPr>
  </w:style>
  <w:style w:type="paragraph" w:styleId="Header">
    <w:name w:val="header"/>
    <w:basedOn w:val="Normal"/>
    <w:link w:val="HeaderChar"/>
    <w:uiPriority w:val="99"/>
    <w:unhideWhenUsed/>
    <w:rsid w:val="006649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9B7"/>
  </w:style>
  <w:style w:type="paragraph" w:styleId="Footer">
    <w:name w:val="footer"/>
    <w:basedOn w:val="Normal"/>
    <w:link w:val="FooterChar"/>
    <w:uiPriority w:val="99"/>
    <w:unhideWhenUsed/>
    <w:rsid w:val="006649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9B7"/>
  </w:style>
  <w:style w:type="character" w:styleId="Hyperlink">
    <w:name w:val="Hyperlink"/>
    <w:basedOn w:val="DefaultParagraphFont"/>
    <w:uiPriority w:val="99"/>
    <w:unhideWhenUsed/>
    <w:rsid w:val="0092585E"/>
    <w:rPr>
      <w:color w:val="0000FF" w:themeColor="hyperlink"/>
      <w:u w:val="single"/>
    </w:rPr>
  </w:style>
  <w:style w:type="character" w:styleId="FollowedHyperlink">
    <w:name w:val="FollowedHyperlink"/>
    <w:basedOn w:val="DefaultParagraphFont"/>
    <w:uiPriority w:val="99"/>
    <w:semiHidden/>
    <w:unhideWhenUsed/>
    <w:rsid w:val="00C901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CBD"/>
    <w:pPr>
      <w:ind w:left="720"/>
      <w:contextualSpacing/>
    </w:pPr>
  </w:style>
  <w:style w:type="paragraph" w:styleId="Header">
    <w:name w:val="header"/>
    <w:basedOn w:val="Normal"/>
    <w:link w:val="HeaderChar"/>
    <w:uiPriority w:val="99"/>
    <w:unhideWhenUsed/>
    <w:rsid w:val="006649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9B7"/>
  </w:style>
  <w:style w:type="paragraph" w:styleId="Footer">
    <w:name w:val="footer"/>
    <w:basedOn w:val="Normal"/>
    <w:link w:val="FooterChar"/>
    <w:uiPriority w:val="99"/>
    <w:unhideWhenUsed/>
    <w:rsid w:val="006649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9B7"/>
  </w:style>
  <w:style w:type="character" w:styleId="Hyperlink">
    <w:name w:val="Hyperlink"/>
    <w:basedOn w:val="DefaultParagraphFont"/>
    <w:uiPriority w:val="99"/>
    <w:unhideWhenUsed/>
    <w:rsid w:val="0092585E"/>
    <w:rPr>
      <w:color w:val="0000FF" w:themeColor="hyperlink"/>
      <w:u w:val="single"/>
    </w:rPr>
  </w:style>
  <w:style w:type="character" w:styleId="FollowedHyperlink">
    <w:name w:val="FollowedHyperlink"/>
    <w:basedOn w:val="DefaultParagraphFont"/>
    <w:uiPriority w:val="99"/>
    <w:semiHidden/>
    <w:unhideWhenUsed/>
    <w:rsid w:val="00C90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yandguilds.com/qualifications-and-apprenticeships/learning/learning-support/5329-supporting-teaching-and-learning-in-schools" TargetMode="External"/><Relationship Id="rId18" Type="http://schemas.openxmlformats.org/officeDocument/2006/relationships/hyperlink" Target="https://www.unison.org.uk/content/uploads/2014/09/TowebTA-Survey-2013-PDF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ebarchive.nationalarchives.gov.uk/20130401151715/http://www.education.gov.uk/publications/eOrderingDownload/TDA0420.pdf" TargetMode="External"/><Relationship Id="rId17" Type="http://schemas.openxmlformats.org/officeDocument/2006/relationships/hyperlink" Target="https://www.ucl.ac.uk/ioe/news-events/pdf/TA_Guidance_Report_MakingBestUseOfTeachingAssisstants.pdf" TargetMode="External"/><Relationship Id="rId2" Type="http://schemas.openxmlformats.org/officeDocument/2006/relationships/numbering" Target="numbering.xml"/><Relationship Id="rId16" Type="http://schemas.openxmlformats.org/officeDocument/2006/relationships/hyperlink" Target="https://www.myworldofwork.co.uk/my-career-options/learning-support-assista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education.gov.uk/funding-policy-unit/schools-national-funding-formula/supporting_documents/Current_funding_system.pdf" TargetMode="External"/><Relationship Id="rId5" Type="http://schemas.openxmlformats.org/officeDocument/2006/relationships/settings" Target="settings.xml"/><Relationship Id="rId15" Type="http://schemas.openxmlformats.org/officeDocument/2006/relationships/hyperlink" Target="http://www.naht.org.uk/welcome/news-and-media/key-topics/staff-management/professional-standards-for-teaching-assistants-published/" TargetMode="External"/><Relationship Id="rId10" Type="http://schemas.openxmlformats.org/officeDocument/2006/relationships/hyperlink" Target="http://researchbriefings.parliament.uk/ResearchBriefing/Summary/SN06702" TargetMode="External"/><Relationship Id="rId19" Type="http://schemas.openxmlformats.org/officeDocument/2006/relationships/hyperlink" Target="https://www.gov.uk/government/statistics/school-workforce-in-england-november-2015" TargetMode="External"/><Relationship Id="rId4" Type="http://schemas.microsoft.com/office/2007/relationships/stylesWithEffects" Target="stylesWithEffects.xml"/><Relationship Id="rId9" Type="http://schemas.openxmlformats.org/officeDocument/2006/relationships/hyperlink" Target="https://www.gov.uk/government/consultations/schools-national-funding-formula-stage-2" TargetMode="External"/><Relationship Id="rId14" Type="http://schemas.openxmlformats.org/officeDocument/2006/relationships/hyperlink" Target="http://www.legislation.gov.uk/ukpga/2014/6/contents/enacted"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9AD2A-3E5B-42BD-A186-6B864C98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9087</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chanceb</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Pölzler Christina</dc:creator>
  <cp:lastModifiedBy>user</cp:lastModifiedBy>
  <cp:revision>2</cp:revision>
  <dcterms:created xsi:type="dcterms:W3CDTF">2018-01-20T12:38:00Z</dcterms:created>
  <dcterms:modified xsi:type="dcterms:W3CDTF">2018-01-20T12:38:00Z</dcterms:modified>
</cp:coreProperties>
</file>